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29" w:rsidRPr="00C160E4" w:rsidRDefault="008B2229" w:rsidP="00971E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0E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77960" w:rsidRDefault="008B2229" w:rsidP="00971E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0E4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13A2D">
        <w:rPr>
          <w:rFonts w:ascii="Times New Roman" w:hAnsi="Times New Roman" w:cs="Times New Roman"/>
          <w:b/>
          <w:sz w:val="28"/>
          <w:szCs w:val="28"/>
        </w:rPr>
        <w:t>скорректированной инвестиционной программе</w:t>
      </w:r>
      <w:r w:rsidRPr="00C160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229" w:rsidRPr="00C160E4" w:rsidRDefault="008B2229" w:rsidP="00971E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0E4">
        <w:rPr>
          <w:rFonts w:ascii="Times New Roman" w:hAnsi="Times New Roman" w:cs="Times New Roman"/>
          <w:b/>
          <w:sz w:val="28"/>
          <w:szCs w:val="28"/>
        </w:rPr>
        <w:t xml:space="preserve">АО «НЭСК» </w:t>
      </w:r>
    </w:p>
    <w:p w:rsidR="008B2229" w:rsidRPr="00C160E4" w:rsidRDefault="008B2229" w:rsidP="00971E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0E4">
        <w:rPr>
          <w:rFonts w:ascii="Times New Roman" w:hAnsi="Times New Roman" w:cs="Times New Roman"/>
          <w:b/>
          <w:sz w:val="28"/>
          <w:szCs w:val="28"/>
        </w:rPr>
        <w:t>на период 2021-2023гг.</w:t>
      </w:r>
    </w:p>
    <w:p w:rsidR="008B2229" w:rsidRDefault="008B2229" w:rsidP="00971E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D27B0" w:rsidRDefault="008259B4" w:rsidP="00971E7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министерства </w:t>
      </w:r>
      <w:proofErr w:type="spellStart"/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</w:t>
      </w:r>
      <w:proofErr w:type="spellEnd"/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энергетического комплекса и </w:t>
      </w:r>
      <w:proofErr w:type="spellStart"/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коммунального хозяйства Краснодарского края</w:t>
      </w:r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министерство ТЭК и ЖКХ КК) от 14.12.2020 № 711 «Об утверждении инвестиционной программы АО «НЭСК» на 2021-2023 годы утверждена инвестицион</w:t>
      </w:r>
      <w:r w:rsidR="00B34A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 в сумме 528 566,35</w:t>
      </w:r>
      <w:r w:rsidRPr="0082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(без НДС). </w:t>
      </w:r>
    </w:p>
    <w:p w:rsidR="008259B4" w:rsidRDefault="008259B4" w:rsidP="00971E7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год: 363 082,95 тыс. руб.</w:t>
      </w:r>
    </w:p>
    <w:p w:rsidR="008259B4" w:rsidRDefault="008259B4" w:rsidP="00971E7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год: 82 086,90 тыс. руб.</w:t>
      </w:r>
    </w:p>
    <w:p w:rsidR="008259B4" w:rsidRDefault="008259B4" w:rsidP="00971E7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год: 83 396,</w:t>
      </w:r>
      <w:r w:rsidR="00B34ACE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C160E4" w:rsidRPr="00C160E4" w:rsidRDefault="00971E7A" w:rsidP="00971E7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</w:t>
      </w:r>
      <w:r w:rsidR="00D629E2"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 постановления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 </w:t>
      </w:r>
      <w:r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="00D629E2"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629E2"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629E2"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предусмотренными Правилами утверждения инвестиционных программ субъектов электроэнергетики, утвержденных постановлением Правительства Российской Федерации от 01.12.2009 «Об инвестиционных программ</w:t>
      </w:r>
      <w:r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субъектов электроэнергетики» </w:t>
      </w:r>
      <w:r w:rsidR="00D629E2"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</w:t>
      </w:r>
      <w:r w:rsidRPr="0097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ляем </w:t>
      </w:r>
      <w:r w:rsidR="00C160E4" w:rsidRPr="00971E7A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EF397B" w:rsidRPr="00971E7A">
        <w:rPr>
          <w:rFonts w:ascii="Times New Roman" w:eastAsia="Calibri" w:hAnsi="Times New Roman" w:cs="Times New Roman"/>
          <w:sz w:val="28"/>
          <w:szCs w:val="28"/>
        </w:rPr>
        <w:t>скорректированной</w:t>
      </w:r>
      <w:r w:rsidR="00C160E4" w:rsidRPr="00971E7A">
        <w:rPr>
          <w:rFonts w:ascii="Times New Roman" w:eastAsia="Calibri" w:hAnsi="Times New Roman" w:cs="Times New Roman"/>
          <w:sz w:val="28"/>
          <w:szCs w:val="28"/>
        </w:rPr>
        <w:t xml:space="preserve"> утвержденной </w:t>
      </w:r>
      <w:r w:rsidRPr="00971E7A">
        <w:rPr>
          <w:rFonts w:ascii="Times New Roman" w:eastAsia="Calibri" w:hAnsi="Times New Roman" w:cs="Times New Roman"/>
          <w:sz w:val="28"/>
          <w:szCs w:val="28"/>
        </w:rPr>
        <w:t>инвестиционной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АО </w:t>
      </w:r>
      <w:r w:rsidR="00C160E4" w:rsidRPr="00C160E4">
        <w:rPr>
          <w:rFonts w:ascii="Times New Roman" w:eastAsia="Calibri" w:hAnsi="Times New Roman" w:cs="Times New Roman"/>
          <w:sz w:val="28"/>
          <w:szCs w:val="28"/>
        </w:rPr>
        <w:t>«НЭСК» на 2021-2023 гг. в табличной части с разбивкой по годам (</w:t>
      </w:r>
      <w:r w:rsidR="00C160E4" w:rsidRPr="00C160E4">
        <w:rPr>
          <w:rFonts w:ascii="Times New Roman" w:eastAsia="Calibri" w:hAnsi="Times New Roman" w:cs="Times New Roman"/>
          <w:i/>
          <w:sz w:val="28"/>
          <w:szCs w:val="28"/>
        </w:rPr>
        <w:t>приложение № 1 к Пояснительной записке</w:t>
      </w:r>
      <w:r w:rsidR="00C160E4" w:rsidRPr="00C160E4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940"/>
        <w:gridCol w:w="2080"/>
        <w:gridCol w:w="1900"/>
        <w:gridCol w:w="3451"/>
      </w:tblGrid>
      <w:tr w:rsidR="006E315B" w:rsidRPr="006E315B" w:rsidTr="006E315B">
        <w:trPr>
          <w:trHeight w:val="1329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Утвержденный план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по корректировке утвержденного плана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DE2" w:rsidRDefault="006E315B" w:rsidP="00E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</w:t>
            </w:r>
          </w:p>
          <w:p w:rsidR="006E315B" w:rsidRPr="006E315B" w:rsidRDefault="006E315B" w:rsidP="00E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учетом предложений по корректировке утвер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денного плана)</w:t>
            </w:r>
          </w:p>
        </w:tc>
      </w:tr>
      <w:tr w:rsidR="006E315B" w:rsidRPr="006E315B" w:rsidTr="006E315B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363 082,95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363 082,95</w:t>
            </w:r>
          </w:p>
        </w:tc>
      </w:tr>
      <w:tr w:rsidR="006E315B" w:rsidRPr="006E315B" w:rsidTr="006E315B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82 086,90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795 833,12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877 920,02</w:t>
            </w:r>
          </w:p>
        </w:tc>
      </w:tr>
      <w:tr w:rsidR="006E315B" w:rsidRPr="006E315B" w:rsidTr="006E315B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83 396,50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820 270,36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903 666,86</w:t>
            </w:r>
          </w:p>
        </w:tc>
      </w:tr>
      <w:tr w:rsidR="006E315B" w:rsidRPr="006E315B" w:rsidTr="006E315B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4034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  <w:r w:rsidR="006E315B"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528 566,35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1 616 103,48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B" w:rsidRPr="006E315B" w:rsidRDefault="006E315B" w:rsidP="006E3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2 144 669,83</w:t>
            </w:r>
          </w:p>
        </w:tc>
      </w:tr>
    </w:tbl>
    <w:p w:rsidR="00DD06D9" w:rsidRPr="00C160E4" w:rsidRDefault="00DD06D9" w:rsidP="00971E7A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1BE9" w:rsidRPr="002B3D93" w:rsidRDefault="00AB1BE9" w:rsidP="00AB1BE9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2B3D93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Pr="002B3D9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Проект корректировки </w:t>
      </w:r>
      <w:r w:rsidRPr="002B3D93">
        <w:rPr>
          <w:rFonts w:ascii="Times New Roman" w:hAnsi="Times New Roman" w:cs="Times New Roman"/>
          <w:b/>
          <w:i/>
          <w:sz w:val="28"/>
          <w:szCs w:val="28"/>
        </w:rPr>
        <w:t>инвестиционного проекта К_2.15.</w:t>
      </w:r>
      <w:proofErr w:type="gramEnd"/>
      <w:r w:rsidRPr="002B3D93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2B3D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Создание интеллектуальной системы учета электроэнергии согласно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№ </w:t>
      </w:r>
      <w:r w:rsidRPr="002B3D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522-ФЗ от 27.12.2018 </w:t>
      </w:r>
      <w:r w:rsidR="00816D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2B3D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816D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</w:r>
      <w:r w:rsidRPr="002B3D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816DE1" w:rsidRPr="00ED3718" w:rsidRDefault="00816DE1" w:rsidP="00816D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1 января 2022 г.</w:t>
      </w:r>
      <w:r w:rsidR="00AB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допуску в эксплуатацию подлежат приборы учета электрической энергии, соответствующие Правилам предоставления доступа к минимальному набору функций интеллектуальных систем учета электрической энергии (мощности), что влечет установку устройств сбора и передачи данных (далее –</w:t>
      </w:r>
      <w:r w:rsidR="00E10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УСПД) в многоквартирных </w:t>
      </w: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домах (далее – МКД), предлагаем внести изменения в инвестиционную программу АО «НЭСК» на 2021-2023 года.</w:t>
      </w:r>
      <w:proofErr w:type="gramEnd"/>
    </w:p>
    <w:p w:rsidR="00816DE1" w:rsidRPr="00ED3718" w:rsidRDefault="00816DE1" w:rsidP="00816D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в утвержденную инвестиционную программу на 2022 и 2023 года не включены расходы, связанные с установкой УСПД, в корректировочный проект предлагается добавить необходимое количество МКД (за вычетом </w:t>
      </w:r>
      <w:proofErr w:type="gramStart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ИП в 2021 году), по которым необходимо произвести установку УСПД. </w:t>
      </w:r>
      <w:r w:rsidRPr="00546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УСПД разбито равными долями на 2022, 2023 года.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УСПД и работ по монтажу на 2022 и 2023 год учитывает индекс потребительских цен, равный 4%.</w:t>
      </w:r>
    </w:p>
    <w:p w:rsidR="00816DE1" w:rsidRPr="00D3011C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Целью данного проекта является: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исполнение обязанностей гарантирующего поставщика, возникающих в связи с принятием Федерального закона от 27.12.2018 № 522-ФЗ;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011C">
        <w:rPr>
          <w:rFonts w:ascii="Times New Roman" w:eastAsia="Calibri" w:hAnsi="Times New Roman" w:cs="Times New Roman"/>
          <w:sz w:val="28"/>
          <w:szCs w:val="28"/>
        </w:rPr>
        <w:t>централизация и автоматизация массового сбора данных и информации о показаниях приборов учёта электрической энергии (мощности) и объемах потребления электрической энергии (мощности);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3011C">
        <w:rPr>
          <w:rFonts w:ascii="Times New Roman" w:eastAsia="Calibri" w:hAnsi="Times New Roman" w:cs="Times New Roman"/>
          <w:sz w:val="28"/>
          <w:szCs w:val="28"/>
        </w:rPr>
        <w:t>мониторинг режимов потребления электрической энергии (мощности) за счёт внедрения систем контроля и регулирования;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3011C">
        <w:rPr>
          <w:rFonts w:ascii="Times New Roman" w:eastAsia="Calibri" w:hAnsi="Times New Roman" w:cs="Times New Roman"/>
          <w:sz w:val="28"/>
          <w:szCs w:val="28"/>
        </w:rPr>
        <w:t>исключение фактов несанкционированного вмешательства в работу приборов учёта электрической энергии (мощности);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3011C">
        <w:rPr>
          <w:rFonts w:ascii="Times New Roman" w:eastAsia="Calibri" w:hAnsi="Times New Roman" w:cs="Times New Roman"/>
          <w:sz w:val="28"/>
          <w:szCs w:val="28"/>
        </w:rPr>
        <w:t xml:space="preserve">обеспечение корректного определения объемов потребления электрической энергии (мощности); </w:t>
      </w:r>
    </w:p>
    <w:p w:rsidR="00816DE1" w:rsidRPr="00D3011C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3011C">
        <w:rPr>
          <w:rFonts w:ascii="Times New Roman" w:eastAsia="Calibri" w:hAnsi="Times New Roman" w:cs="Times New Roman"/>
          <w:sz w:val="28"/>
          <w:szCs w:val="28"/>
        </w:rPr>
        <w:t>внедрение новых технических решений и программно-аппаратных средств, обеспечивающих повышение качества учёта электрической энергии (мощности);</w:t>
      </w:r>
    </w:p>
    <w:p w:rsidR="00816DE1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011C">
        <w:rPr>
          <w:rFonts w:ascii="Times New Roman" w:eastAsia="Calibri" w:hAnsi="Times New Roman" w:cs="Times New Roman"/>
          <w:sz w:val="28"/>
          <w:szCs w:val="28"/>
        </w:rPr>
        <w:t>упрощение процесса предоставления потребителям и иным пользователям данных и информации о результатах измерения физических величин базовых параметров цепи переменного тока, показаниях приборов учёта электрической энергии (мощности) и объемах потребления электрической энергии (мощности);</w:t>
      </w:r>
    </w:p>
    <w:p w:rsidR="00816DE1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AB6705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>ышение скорости и качества при</w:t>
      </w:r>
      <w:r w:rsidRPr="00AB6705">
        <w:rPr>
          <w:rFonts w:ascii="Times New Roman" w:eastAsia="Calibri" w:hAnsi="Times New Roman" w:cs="Times New Roman"/>
          <w:sz w:val="28"/>
          <w:szCs w:val="28"/>
        </w:rPr>
        <w:t>нимаемых управленческих решений в области энергосбережения и сокращения совокупных издержек за счет расширенных аналитических возможностей системы.</w:t>
      </w:r>
    </w:p>
    <w:p w:rsidR="00816DE1" w:rsidRPr="00CC6681" w:rsidRDefault="00816DE1" w:rsidP="00816DE1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минимизация затрат на введение ограничения режима потребления и возобновление режима потребления.</w:t>
      </w:r>
    </w:p>
    <w:p w:rsidR="00816DE1" w:rsidRPr="00D3011C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 xml:space="preserve">Задачи проекта: 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- установка современных (интеллектуальных) приборов учёта электрической энергии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объединение приборов учета и компонентов в интеллектуальную систему учета электроэнергии;</w:t>
      </w:r>
    </w:p>
    <w:p w:rsidR="00816DE1" w:rsidRPr="00CC668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создание центра сбора и обработки данных, полученных с приборов учета.</w:t>
      </w:r>
    </w:p>
    <w:p w:rsidR="00816DE1" w:rsidRPr="00D3011C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Результаты реализации проекта:</w:t>
      </w:r>
    </w:p>
    <w:p w:rsidR="00816DE1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A21">
        <w:rPr>
          <w:rFonts w:ascii="Times New Roman" w:eastAsia="Calibri" w:hAnsi="Times New Roman" w:cs="Times New Roman"/>
          <w:sz w:val="28"/>
          <w:szCs w:val="28"/>
        </w:rPr>
        <w:lastRenderedPageBreak/>
        <w:t>100% сбор достоверных данных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потреблении по автоматизирован</w:t>
      </w:r>
      <w:r w:rsidRPr="005C7A21">
        <w:rPr>
          <w:rFonts w:ascii="Times New Roman" w:eastAsia="Calibri" w:hAnsi="Times New Roman" w:cs="Times New Roman"/>
          <w:sz w:val="28"/>
          <w:szCs w:val="28"/>
        </w:rPr>
        <w:t>ным точкам учета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D3011C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>увеличение точности расчётов месячного потребления со снятием показаний на начало и конец расчётного периода;</w:t>
      </w:r>
    </w:p>
    <w:p w:rsidR="00816DE1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11C">
        <w:rPr>
          <w:rFonts w:ascii="Times New Roman" w:eastAsia="Calibri" w:hAnsi="Times New Roman" w:cs="Times New Roman"/>
          <w:sz w:val="28"/>
          <w:szCs w:val="28"/>
        </w:rPr>
        <w:t xml:space="preserve">отсутствие </w:t>
      </w:r>
      <w:proofErr w:type="gramStart"/>
      <w:r w:rsidRPr="00D3011C">
        <w:rPr>
          <w:rFonts w:ascii="Times New Roman" w:eastAsia="Calibri" w:hAnsi="Times New Roman" w:cs="Times New Roman"/>
          <w:sz w:val="28"/>
          <w:szCs w:val="28"/>
        </w:rPr>
        <w:t>необходимости передачи показаний индивидуальных приборов учёта электрической энергии</w:t>
      </w:r>
      <w:proofErr w:type="gramEnd"/>
      <w:r w:rsidRPr="00D301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D3011C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обеспечение потребителей </w:t>
      </w:r>
      <w:r w:rsidRPr="00A05BB9">
        <w:rPr>
          <w:rFonts w:ascii="Times New Roman" w:eastAsia="Calibri" w:hAnsi="Times New Roman" w:cs="Times New Roman"/>
          <w:sz w:val="28"/>
          <w:szCs w:val="28"/>
        </w:rPr>
        <w:t>возможность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доступа к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инимальному набору </w:t>
      </w: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функций интеллектуальной систем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ы учета электрической энергии </w:t>
      </w:r>
      <w:r w:rsidRPr="00A05BB9">
        <w:rPr>
          <w:rFonts w:ascii="Times New Roman" w:eastAsia="Calibri" w:hAnsi="Times New Roman" w:cs="Times New Roman"/>
          <w:sz w:val="28"/>
          <w:szCs w:val="28"/>
        </w:rPr>
        <w:t>мощности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16DE1" w:rsidRPr="00ED3718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18">
        <w:rPr>
          <w:rFonts w:ascii="Times New Roman" w:eastAsia="Calibri" w:hAnsi="Times New Roman" w:cs="Times New Roman"/>
          <w:sz w:val="28"/>
          <w:szCs w:val="28"/>
        </w:rPr>
        <w:t xml:space="preserve">повышение </w:t>
      </w:r>
      <w:proofErr w:type="gramStart"/>
      <w:r w:rsidRPr="00ED3718">
        <w:rPr>
          <w:rFonts w:ascii="Times New Roman" w:eastAsia="Calibri" w:hAnsi="Times New Roman" w:cs="Times New Roman"/>
          <w:sz w:val="28"/>
          <w:szCs w:val="28"/>
        </w:rPr>
        <w:t>точности расчета объема потребления электроэнергии</w:t>
      </w:r>
      <w:proofErr w:type="gramEnd"/>
      <w:r w:rsidRPr="00ED3718">
        <w:rPr>
          <w:rFonts w:ascii="Times New Roman" w:eastAsia="Calibri" w:hAnsi="Times New Roman" w:cs="Times New Roman"/>
          <w:sz w:val="28"/>
          <w:szCs w:val="28"/>
        </w:rPr>
        <w:t xml:space="preserve"> на общедомовые нужды;</w:t>
      </w:r>
    </w:p>
    <w:p w:rsidR="00816DE1" w:rsidRPr="005C7A21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A21">
        <w:rPr>
          <w:rFonts w:ascii="Times New Roman" w:eastAsia="Calibri" w:hAnsi="Times New Roman" w:cs="Times New Roman"/>
          <w:sz w:val="28"/>
          <w:szCs w:val="28"/>
        </w:rPr>
        <w:t>исключение начислений по среднемесячному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расчету и </w:t>
      </w:r>
      <w:r w:rsidRPr="005C7A21">
        <w:rPr>
          <w:rFonts w:ascii="Times New Roman" w:eastAsia="Calibri" w:hAnsi="Times New Roman" w:cs="Times New Roman"/>
          <w:sz w:val="28"/>
          <w:szCs w:val="28"/>
        </w:rPr>
        <w:t xml:space="preserve"> нормативу в квартирах, оборудованных индивидуальными приборами учёта электрической энергии;</w:t>
      </w:r>
    </w:p>
    <w:p w:rsidR="00816DE1" w:rsidRPr="00CC6681" w:rsidRDefault="00816DE1" w:rsidP="00816DE1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5C7A21">
        <w:rPr>
          <w:rFonts w:ascii="Times New Roman" w:eastAsia="Calibri" w:hAnsi="Times New Roman" w:cs="Times New Roman"/>
          <w:sz w:val="28"/>
          <w:szCs w:val="28"/>
        </w:rPr>
        <w:t>сокращение потерь электроэнергии до уровня технических потерь.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Согласно пункта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5 статьи 37 Федерального закона от 26.03.2003 года № 35-ФЗ «Об электроэнергетике» (далее - Закон №35-ФЗ) в редакции Закона №522-ФЗ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«По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(мощности)».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подпунктом «Б» пункта 5 ст.1 ФЗ№522 01.01.2023 в случае не предоставления </w:t>
      </w:r>
      <w:r w:rsidRPr="00A05BB9">
        <w:rPr>
          <w:rFonts w:ascii="Times New Roman" w:eastAsia="Calibri" w:hAnsi="Times New Roman" w:cs="Times New Roman"/>
          <w:sz w:val="28"/>
          <w:szCs w:val="28"/>
        </w:rPr>
        <w:t>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гарантирующий поставщик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несет штрафные санкции.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A05BB9">
        <w:rPr>
          <w:rFonts w:ascii="Times New Roman" w:eastAsia="Calibri" w:hAnsi="Times New Roman" w:cs="Times New Roman"/>
          <w:sz w:val="28"/>
          <w:szCs w:val="28"/>
        </w:rPr>
        <w:t>аран</w:t>
      </w:r>
      <w:r>
        <w:rPr>
          <w:rFonts w:ascii="Times New Roman" w:eastAsia="Calibri" w:hAnsi="Times New Roman" w:cs="Times New Roman"/>
          <w:sz w:val="28"/>
          <w:szCs w:val="28"/>
        </w:rPr>
        <w:t>тирующий поставщик до 01.01.2023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года должен создать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интеллектуальную систему учета электроэнергии (мощности) во всех многоквартирных домах (далее - МКД),  где  он является исполнителем </w:t>
      </w:r>
      <w:r w:rsidRPr="00A05BB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коммунальных услуг,  </w:t>
      </w:r>
      <w:proofErr w:type="spellStart"/>
      <w:r w:rsidRPr="00A05BB9">
        <w:rPr>
          <w:rFonts w:ascii="Times New Roman" w:eastAsia="Calibri" w:hAnsi="Times New Roman" w:cs="Times New Roman"/>
          <w:sz w:val="28"/>
          <w:szCs w:val="28"/>
        </w:rPr>
        <w:t>ресурсоснабжающей</w:t>
      </w:r>
      <w:proofErr w:type="spell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организацией, а так же вв</w:t>
      </w:r>
      <w:r>
        <w:rPr>
          <w:rFonts w:ascii="Times New Roman" w:eastAsia="Calibri" w:hAnsi="Times New Roman" w:cs="Times New Roman"/>
          <w:sz w:val="28"/>
          <w:szCs w:val="28"/>
        </w:rPr>
        <w:t>одимых в эксплуатацию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с 01.01.2022г. предоставить потребителям электрической энергии возможность доступа к минимальному набору функций интеллектуальной системе учета электрической энергии </w:t>
      </w: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>мощности) по всем приборам учета 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Интеллектуальная система учета электрической энергии (мощности) -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Правительства РФ «Об утверждении правил предоставления доступа к минимальному набору функций интеллектуальных систем учета электрической энергии (мощности)», гарантирующий поставщик должен предоставить пользователям интеллектуальной системы следующий набор функций: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1.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Передача показаний и результатов измерений прибора учета электрической энергии, присоединенного к интеллектуальной системе учета;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2.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Предоставлени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информации о количестве и иных параметрах электрической энергии;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3.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Полного и (или) частичного ограничения режима потребления электрической энергии, а также возобновления подачи электрической энергии;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4.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Установление и изменение зон суток (часов, дней недели, месяцев) по которым прибором учета электрической энергии, присоединённым к интеллектуальной системе учета, осуществляется суммирование объемов электрической энергии, в соответствии с дифференциацией тарифов, предусмотренной законодательством;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5.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Передача данных о параметрах настройки и данных, зафиксированных прибором учета электрической энергии, присоединенным к интеллектуальной системе учета;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6.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Передача нормативной справочной информации;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7.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Передача архива данных. </w:t>
      </w:r>
    </w:p>
    <w:p w:rsidR="00816DE1" w:rsidRPr="00CC668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Для определения  стоимости внедрения интеллектуальн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учета  электрической энергии  были использованы компоненты и устройства, </w:t>
      </w:r>
      <w:r w:rsidRPr="00A05BB9">
        <w:rPr>
          <w:rFonts w:ascii="Times New Roman" w:eastAsia="Calibri" w:hAnsi="Times New Roman" w:cs="Times New Roman"/>
          <w:sz w:val="28"/>
          <w:szCs w:val="28"/>
        </w:rPr>
        <w:lastRenderedPageBreak/>
        <w:t>предназначенные для удаленного сбора, обработки, передачи показаний приборов учета электрической энергии, обеспечивающие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(мощности).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4F08BA">
        <w:rPr>
          <w:rFonts w:ascii="Times New Roman" w:eastAsia="Calibri" w:hAnsi="Times New Roman" w:cs="Times New Roman"/>
          <w:b/>
          <w:sz w:val="28"/>
          <w:szCs w:val="28"/>
        </w:rPr>
        <w:t>Структура ИСУЭ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16DE1" w:rsidRPr="004F08BA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B03EFB" wp14:editId="5A6CF4EE">
            <wp:extent cx="5940425" cy="431038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ИСУЭ 01-02-202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</w:p>
    <w:p w:rsidR="00816DE1" w:rsidRPr="00895B6D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B6D">
        <w:rPr>
          <w:rFonts w:ascii="Times New Roman" w:eastAsia="Calibri" w:hAnsi="Times New Roman" w:cs="Times New Roman"/>
          <w:sz w:val="28"/>
          <w:szCs w:val="28"/>
        </w:rPr>
        <w:t>Измерительная система учета электрической энергии (мощности) состоит из двух уровней:</w:t>
      </w:r>
    </w:p>
    <w:p w:rsidR="00816DE1" w:rsidRPr="00895B6D" w:rsidRDefault="00816DE1" w:rsidP="00816DE1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B6D">
        <w:rPr>
          <w:rFonts w:ascii="Times New Roman" w:eastAsia="Calibri" w:hAnsi="Times New Roman" w:cs="Times New Roman"/>
          <w:sz w:val="28"/>
          <w:szCs w:val="28"/>
        </w:rPr>
        <w:t>Верхний уровень – интеллектуальная система учета электрической энергии (</w:t>
      </w:r>
      <w:r w:rsidRPr="00FD1C48">
        <w:rPr>
          <w:rFonts w:ascii="Times New Roman" w:eastAsia="Calibri" w:hAnsi="Times New Roman" w:cs="Times New Roman"/>
          <w:b/>
          <w:sz w:val="28"/>
          <w:szCs w:val="28"/>
        </w:rPr>
        <w:t>ИСУЭ</w:t>
      </w:r>
      <w:r w:rsidRPr="00895B6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16DE1" w:rsidRPr="00CC6681" w:rsidRDefault="00816DE1" w:rsidP="00816DE1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B6D">
        <w:rPr>
          <w:rFonts w:ascii="Times New Roman" w:eastAsia="Calibri" w:hAnsi="Times New Roman" w:cs="Times New Roman"/>
          <w:sz w:val="28"/>
          <w:szCs w:val="28"/>
        </w:rPr>
        <w:t xml:space="preserve">Нижний уровень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895B6D">
        <w:rPr>
          <w:rFonts w:ascii="Times New Roman" w:eastAsia="Calibri" w:hAnsi="Times New Roman" w:cs="Times New Roman"/>
          <w:sz w:val="28"/>
          <w:szCs w:val="28"/>
        </w:rPr>
        <w:t xml:space="preserve"> интеллектуальные приборы учета (ИПУ) электроэнергии с интегрированными средствами передачи данных (модем).</w:t>
      </w:r>
    </w:p>
    <w:p w:rsidR="00816DE1" w:rsidRPr="00895B6D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B6D">
        <w:rPr>
          <w:rFonts w:ascii="Times New Roman" w:eastAsia="Calibri" w:hAnsi="Times New Roman" w:cs="Times New Roman"/>
          <w:sz w:val="28"/>
          <w:szCs w:val="28"/>
        </w:rPr>
        <w:t>ИСУЭ в свою очередь также состоит из двух уровней:</w:t>
      </w:r>
    </w:p>
    <w:p w:rsidR="00816DE1" w:rsidRPr="00895B6D" w:rsidRDefault="00816DE1" w:rsidP="00816DE1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5B6D">
        <w:rPr>
          <w:rFonts w:ascii="Times New Roman" w:eastAsia="Calibri" w:hAnsi="Times New Roman" w:cs="Times New Roman"/>
          <w:sz w:val="28"/>
          <w:szCs w:val="28"/>
        </w:rPr>
        <w:t xml:space="preserve">Верхний уровень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программно-аппаратный комплекс (ПАК) </w:t>
      </w:r>
      <w:r w:rsidRPr="00895B6D">
        <w:rPr>
          <w:rFonts w:ascii="Times New Roman" w:eastAsia="Calibri" w:hAnsi="Times New Roman" w:cs="Times New Roman"/>
          <w:sz w:val="28"/>
          <w:szCs w:val="28"/>
        </w:rPr>
        <w:t>включа</w:t>
      </w:r>
      <w:r>
        <w:rPr>
          <w:rFonts w:ascii="Times New Roman" w:eastAsia="Calibri" w:hAnsi="Times New Roman" w:cs="Times New Roman"/>
          <w:sz w:val="28"/>
          <w:szCs w:val="28"/>
        </w:rPr>
        <w:t>ющий</w:t>
      </w:r>
      <w:r w:rsidRPr="00895B6D">
        <w:rPr>
          <w:rFonts w:ascii="Times New Roman" w:eastAsia="Calibri" w:hAnsi="Times New Roman" w:cs="Times New Roman"/>
          <w:sz w:val="28"/>
          <w:szCs w:val="28"/>
        </w:rPr>
        <w:t xml:space="preserve"> в себя серверное оборудование (сервера сбора и обработки данных, сервера баз данных), оборудование связи, систему обеспечения </w:t>
      </w:r>
      <w:r w:rsidRPr="00895B6D">
        <w:rPr>
          <w:rFonts w:ascii="Times New Roman" w:eastAsia="Calibri" w:hAnsi="Times New Roman" w:cs="Times New Roman"/>
          <w:sz w:val="28"/>
          <w:szCs w:val="28"/>
        </w:rPr>
        <w:lastRenderedPageBreak/>
        <w:t>единого времени, системное программное обеспечение (ОС, СУБД, антивирусное ПО), специализированное ПО ИСУЭ, программные и аппаратные средства защиты информации, системы хранения данных.</w:t>
      </w:r>
      <w:proofErr w:type="gramEnd"/>
    </w:p>
    <w:p w:rsidR="00816DE1" w:rsidRPr="00ED3718" w:rsidRDefault="00816DE1" w:rsidP="00816DE1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18">
        <w:rPr>
          <w:rFonts w:ascii="Times New Roman" w:eastAsia="Calibri" w:hAnsi="Times New Roman" w:cs="Times New Roman"/>
          <w:sz w:val="28"/>
          <w:szCs w:val="28"/>
        </w:rPr>
        <w:t xml:space="preserve">Нижний уровень включает в себя </w:t>
      </w:r>
      <w:r w:rsidRPr="00ED3718">
        <w:rPr>
          <w:rFonts w:ascii="Times New Roman" w:hAnsi="Times New Roman" w:cs="Times New Roman"/>
          <w:sz w:val="28"/>
          <w:szCs w:val="28"/>
        </w:rPr>
        <w:t xml:space="preserve">шкафы </w:t>
      </w:r>
      <w:r w:rsidRPr="00ED3718">
        <w:rPr>
          <w:rFonts w:ascii="Times New Roman" w:eastAsia="Calibri" w:hAnsi="Times New Roman" w:cs="Times New Roman"/>
          <w:sz w:val="28"/>
          <w:szCs w:val="28"/>
        </w:rPr>
        <w:t xml:space="preserve">сбора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передачи </w:t>
      </w:r>
      <w:r w:rsidRPr="00ED3718">
        <w:rPr>
          <w:rFonts w:ascii="Times New Roman" w:eastAsia="Calibri" w:hAnsi="Times New Roman" w:cs="Times New Roman"/>
          <w:sz w:val="28"/>
          <w:szCs w:val="28"/>
        </w:rPr>
        <w:t>данных</w:t>
      </w:r>
      <w:r w:rsidRPr="00ED3718">
        <w:rPr>
          <w:rFonts w:ascii="Times New Roman" w:hAnsi="Times New Roman" w:cs="Times New Roman"/>
          <w:sz w:val="28"/>
          <w:szCs w:val="28"/>
        </w:rPr>
        <w:t xml:space="preserve">, содержащие </w:t>
      </w:r>
      <w:r w:rsidRPr="00ED3718">
        <w:rPr>
          <w:rFonts w:ascii="Times New Roman" w:eastAsia="Calibri" w:hAnsi="Times New Roman" w:cs="Times New Roman"/>
          <w:sz w:val="28"/>
          <w:szCs w:val="28"/>
        </w:rPr>
        <w:t>устройства сбора, обработки и передачи данных (УСПД), а также сопутствующее оборудование.</w:t>
      </w:r>
    </w:p>
    <w:p w:rsidR="00816DE1" w:rsidRPr="00ED371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3718">
        <w:rPr>
          <w:rFonts w:ascii="Times New Roman" w:hAnsi="Times New Roman" w:cs="Times New Roman"/>
          <w:sz w:val="28"/>
          <w:szCs w:val="28"/>
        </w:rPr>
        <w:t>Структурной единицей при построении ИСУЭ является МКД. В состав данной единицы входит следующее оборудование:</w:t>
      </w:r>
    </w:p>
    <w:p w:rsidR="00816DE1" w:rsidRPr="00546382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6382">
        <w:rPr>
          <w:rFonts w:ascii="Times New Roman" w:hAnsi="Times New Roman" w:cs="Times New Roman"/>
          <w:sz w:val="28"/>
          <w:szCs w:val="28"/>
        </w:rPr>
        <w:t>УСПД;</w:t>
      </w:r>
    </w:p>
    <w:p w:rsidR="00816DE1" w:rsidRPr="00ED3718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3718">
        <w:rPr>
          <w:rFonts w:ascii="Times New Roman" w:hAnsi="Times New Roman" w:cs="Times New Roman"/>
          <w:sz w:val="28"/>
          <w:szCs w:val="28"/>
        </w:rPr>
        <w:t>Модемы, служащие для связи УСПД и ИПУ;</w:t>
      </w:r>
    </w:p>
    <w:p w:rsidR="00816DE1" w:rsidRPr="00546382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3718">
        <w:rPr>
          <w:rFonts w:ascii="Times New Roman" w:hAnsi="Times New Roman" w:cs="Times New Roman"/>
          <w:sz w:val="28"/>
          <w:szCs w:val="28"/>
        </w:rPr>
        <w:t>Блоки питания;</w:t>
      </w:r>
    </w:p>
    <w:p w:rsidR="00816DE1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3718">
        <w:rPr>
          <w:rFonts w:ascii="Times New Roman" w:hAnsi="Times New Roman" w:cs="Times New Roman"/>
          <w:sz w:val="28"/>
          <w:szCs w:val="28"/>
        </w:rPr>
        <w:t>Антенны;</w:t>
      </w:r>
    </w:p>
    <w:p w:rsidR="00816DE1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Вводной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автомат;</w:t>
      </w:r>
    </w:p>
    <w:p w:rsidR="00816DE1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Прибор учета для измерения собственного потребления шкафа сбора и передачи данных;</w:t>
      </w:r>
    </w:p>
    <w:p w:rsidR="00816DE1" w:rsidRPr="00ED3718" w:rsidRDefault="00816DE1" w:rsidP="00816DE1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 </w:t>
      </w:r>
      <w:r w:rsidRPr="00F64A94">
        <w:rPr>
          <w:rFonts w:ascii="Times New Roman" w:hAnsi="Times New Roman" w:cs="Times New Roman"/>
          <w:sz w:val="28"/>
          <w:szCs w:val="28"/>
        </w:rPr>
        <w:t>Электромонтажны</w:t>
      </w:r>
      <w:r>
        <w:rPr>
          <w:rFonts w:ascii="Times New Roman" w:hAnsi="Times New Roman" w:cs="Times New Roman"/>
          <w:sz w:val="28"/>
          <w:szCs w:val="28"/>
        </w:rPr>
        <w:t>й шкаф, для недопущения несанкционированного доступа.</w:t>
      </w:r>
    </w:p>
    <w:p w:rsidR="00816DE1" w:rsidRPr="00895B6D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5B6D">
        <w:rPr>
          <w:rFonts w:ascii="Times New Roman" w:hAnsi="Times New Roman" w:cs="Times New Roman"/>
          <w:sz w:val="28"/>
          <w:szCs w:val="28"/>
        </w:rPr>
        <w:t xml:space="preserve">Указанная структурная единица является составной частью ИСУЭ. </w:t>
      </w:r>
    </w:p>
    <w:p w:rsidR="00816DE1" w:rsidRPr="00A62C06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5B6D">
        <w:rPr>
          <w:rFonts w:ascii="Times New Roman" w:hAnsi="Times New Roman" w:cs="Times New Roman"/>
          <w:sz w:val="28"/>
          <w:szCs w:val="28"/>
        </w:rPr>
        <w:t>Совокупность структурных единиц, соединенных с серверным оборудованием (верхний уровень), будет составлять интеллектуальную систему учета электрической энергии (мощности) АО «НЭСК».</w:t>
      </w:r>
    </w:p>
    <w:p w:rsidR="00816DE1" w:rsidRPr="00D629E2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в утвержденную инвестиционную программу на 2022 и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включены расходы, связанные, с покупкой серверного оборудования, а также </w:t>
      </w: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установкой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шкафов сбора и передачи данных</w:t>
      </w: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</w:t>
      </w: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 количества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шкафов</w:t>
      </w: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планируемого к установке в 2021-2023 годах. Оставшееся количество МКД (за вычетом планируемых в 2021 году), по которым необходимо произвести установку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шкафов сбора и передачи данных</w:t>
      </w:r>
      <w:r w:rsidRPr="00D629E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разбито равными долями на 2022, 2023 года.</w:t>
      </w:r>
    </w:p>
    <w:p w:rsidR="00816DE1" w:rsidRPr="00ED371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перерасчете стоимостного показателя по инвестиционному проекту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_2.15. «</w:t>
      </w:r>
      <w:r w:rsidRPr="00952A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интеллектуальной системы учета электроэнергии согласно № 522-ФЗ от 27.12.2018 "</w:t>
      </w:r>
      <w:r w:rsidRPr="005463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Pr="00952A7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увеличилась на 1 616 103,48 </w:t>
      </w:r>
      <w:proofErr w:type="spellStart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ED3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6DE1" w:rsidRPr="00ED371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02"/>
        <w:gridCol w:w="850"/>
        <w:gridCol w:w="851"/>
        <w:gridCol w:w="1559"/>
        <w:gridCol w:w="1843"/>
        <w:gridCol w:w="1666"/>
      </w:tblGrid>
      <w:tr w:rsidR="00816DE1" w:rsidRPr="00ED3718" w:rsidTr="00325082">
        <w:trPr>
          <w:trHeight w:val="300"/>
        </w:trPr>
        <w:tc>
          <w:tcPr>
            <w:tcW w:w="2802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Стоимость, руб. без НДС</w:t>
            </w: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Стоимость монтажа УСПД, руб. без НДС </w:t>
            </w:r>
          </w:p>
        </w:tc>
        <w:tc>
          <w:tcPr>
            <w:tcW w:w="1666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Сумма, руб. без НДС</w:t>
            </w:r>
          </w:p>
        </w:tc>
      </w:tr>
      <w:tr w:rsidR="00816DE1" w:rsidRPr="00ED3718" w:rsidTr="00325082">
        <w:trPr>
          <w:trHeight w:val="300"/>
        </w:trPr>
        <w:tc>
          <w:tcPr>
            <w:tcW w:w="2802" w:type="dxa"/>
            <w:vMerge w:val="restart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уровень ИСУЭ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(серверное оборудование, содержащее 2 сервера)</w:t>
            </w: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3 510 376,41 </w:t>
            </w: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666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7 020 752,82 </w:t>
            </w:r>
          </w:p>
        </w:tc>
      </w:tr>
      <w:tr w:rsidR="00816DE1" w:rsidRPr="00ED3718" w:rsidTr="00325082">
        <w:trPr>
          <w:trHeight w:val="300"/>
        </w:trPr>
        <w:tc>
          <w:tcPr>
            <w:tcW w:w="2802" w:type="dxa"/>
            <w:vMerge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noWrap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666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816DE1" w:rsidRPr="00ED3718" w:rsidTr="00325082">
        <w:trPr>
          <w:trHeight w:val="300"/>
        </w:trPr>
        <w:tc>
          <w:tcPr>
            <w:tcW w:w="2802" w:type="dxa"/>
            <w:vMerge w:val="restart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Нижний уровень ИСУЭ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(шкаф сбора и  передачи данных)</w:t>
            </w: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8 681</w:t>
            </w:r>
          </w:p>
        </w:tc>
        <w:tc>
          <w:tcPr>
            <w:tcW w:w="1559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82 333,33 </w:t>
            </w: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8 533,20 </w:t>
            </w:r>
          </w:p>
        </w:tc>
        <w:tc>
          <w:tcPr>
            <w:tcW w:w="1666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788 812 346,93 </w:t>
            </w:r>
          </w:p>
        </w:tc>
      </w:tr>
      <w:tr w:rsidR="00816DE1" w:rsidRPr="00ED3718" w:rsidTr="00325082">
        <w:trPr>
          <w:trHeight w:val="300"/>
        </w:trPr>
        <w:tc>
          <w:tcPr>
            <w:tcW w:w="2802" w:type="dxa"/>
            <w:vMerge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</w:t>
            </w:r>
          </w:p>
        </w:tc>
        <w:tc>
          <w:tcPr>
            <w:tcW w:w="1559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85 626,67 </w:t>
            </w: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8 874,53 </w:t>
            </w:r>
          </w:p>
        </w:tc>
        <w:tc>
          <w:tcPr>
            <w:tcW w:w="1666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820 270 369,71 </w:t>
            </w:r>
          </w:p>
        </w:tc>
      </w:tr>
      <w:tr w:rsidR="00816DE1" w:rsidRPr="00913996" w:rsidTr="00325082">
        <w:trPr>
          <w:trHeight w:val="300"/>
        </w:trPr>
        <w:tc>
          <w:tcPr>
            <w:tcW w:w="2802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hideMark/>
          </w:tcPr>
          <w:p w:rsidR="00816DE1" w:rsidRPr="00ED3718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noWrap/>
            <w:hideMark/>
          </w:tcPr>
          <w:p w:rsidR="00816DE1" w:rsidRPr="00913996" w:rsidRDefault="00816DE1" w:rsidP="00325082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37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1 616 103 469,46</w:t>
            </w:r>
            <w:r w:rsidRPr="009139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16DE1" w:rsidRPr="00C160E4" w:rsidRDefault="00816DE1" w:rsidP="00816D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DE1" w:rsidRPr="00E46AE0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Верхний уровень ИСУЭ – ПАК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Верхний уровень ИСУЭ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представляет из себя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программно-аппаратный комплекс (ПАК) объединяющий в себе совокупность программных и аппаратных средств, обеспечивающих выполнение ИСУЭ всех своих функций.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Аппаратное обеспечение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ПАК </w:t>
      </w:r>
      <w:r w:rsidRPr="00A05BB9">
        <w:rPr>
          <w:rFonts w:ascii="Times New Roman" w:eastAsia="Calibri" w:hAnsi="Times New Roman" w:cs="Times New Roman"/>
          <w:sz w:val="28"/>
          <w:szCs w:val="28"/>
        </w:rPr>
        <w:t>ЦСОД долж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05BB9">
        <w:rPr>
          <w:rFonts w:ascii="Times New Roman" w:eastAsia="Calibri" w:hAnsi="Times New Roman" w:cs="Times New Roman"/>
          <w:sz w:val="28"/>
          <w:szCs w:val="28"/>
        </w:rPr>
        <w:t>н оснащаться: серверами БД, серверами сбора данных, серверами приложений (WEB-сервер) и н</w:t>
      </w:r>
      <w:r>
        <w:rPr>
          <w:rFonts w:ascii="Times New Roman" w:eastAsia="Calibri" w:hAnsi="Times New Roman" w:cs="Times New Roman"/>
          <w:sz w:val="28"/>
          <w:szCs w:val="28"/>
        </w:rPr>
        <w:t>еобходимым количеством АРМ поль</w:t>
      </w:r>
      <w:r w:rsidRPr="00A05BB9">
        <w:rPr>
          <w:rFonts w:ascii="Times New Roman" w:eastAsia="Calibri" w:hAnsi="Times New Roman" w:cs="Times New Roman"/>
          <w:sz w:val="28"/>
          <w:szCs w:val="28"/>
        </w:rPr>
        <w:t>зователей на базе стационарных ПК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либо мобильных устройств, системой обеспечения единого времени</w:t>
      </w:r>
      <w:r w:rsidRPr="00A05B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Структуры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ПАК </w:t>
      </w:r>
      <w:r w:rsidRPr="00A05BB9">
        <w:rPr>
          <w:rFonts w:ascii="Times New Roman" w:eastAsia="Calibri" w:hAnsi="Times New Roman" w:cs="Times New Roman"/>
          <w:sz w:val="28"/>
          <w:szCs w:val="28"/>
        </w:rPr>
        <w:t>ЦСОД и количество и номенклатура АРМ пользователей должны определяться с учетом структуры объектов или субъектов учета.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Сервер сбора данных должен обеспечивать: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оперативный просмотр данных, событий и сообщений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архивирование данных, сбор и архивирование информации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конфигурацию параметров связи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отслеживание однородности и корректности архивов в базе данных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отслеживание пользовательских прав доступа к информации об </w:t>
      </w:r>
      <w:r>
        <w:rPr>
          <w:rFonts w:ascii="Times New Roman" w:eastAsia="Calibri" w:hAnsi="Times New Roman" w:cs="Times New Roman"/>
          <w:sz w:val="28"/>
          <w:szCs w:val="28"/>
        </w:rPr>
        <w:t>ИСУЭ.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Основной функцией сервера базы данных: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организация баз данных, основе распространенных систем управления базой данных (СУБД реального времени)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обеспечение непрерывного доступа к хранимой информации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резервное копирование и архивирование собранной информации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Сервер приложений (WEB-интерфейс) обеспечивает: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доступ к управлению серверной инфраструктурой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проверка полноты архивных данных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>просмотр событий и сообщений, конфигурирование системы, выборка выполнения расчетных функций над массивами данных и рассылка этих данных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Система обеспечения единого времени состоит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816DE1" w:rsidRPr="00806070" w:rsidRDefault="00816DE1" w:rsidP="00816DE1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070">
        <w:rPr>
          <w:rFonts w:ascii="Times New Roman" w:eastAsia="Calibri" w:hAnsi="Times New Roman" w:cs="Times New Roman"/>
          <w:sz w:val="28"/>
          <w:szCs w:val="28"/>
        </w:rPr>
        <w:t>Устройств синхронизации времени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(УСВ)</w:t>
      </w:r>
      <w:r w:rsidRPr="00806070">
        <w:rPr>
          <w:rFonts w:ascii="Times New Roman" w:eastAsia="Calibri" w:hAnsi="Times New Roman" w:cs="Times New Roman"/>
          <w:sz w:val="28"/>
          <w:szCs w:val="28"/>
        </w:rPr>
        <w:t>, получающих сигналы точного времени из системы ГЛОНАСС (требование ФЗ «Об исчислении времени» от 03.06.20211 №107-ФЗ и постановления Правительства РФ от 23 марта 2001 г. № 225 «Об утверждении Положения о Государственной службе времени, частоты и определения параметров вращения Земли (ГСВЧ)»)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DE1" w:rsidRPr="00971E7A" w:rsidRDefault="00816DE1" w:rsidP="00816DE1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070">
        <w:rPr>
          <w:rFonts w:ascii="Times New Roman" w:eastAsia="Calibri" w:hAnsi="Times New Roman" w:cs="Times New Roman"/>
          <w:sz w:val="28"/>
          <w:szCs w:val="28"/>
        </w:rPr>
        <w:t xml:space="preserve">Программных средств, отвечающих за синхронизацию времени между серверами ЦСОД и оборудованием уровней ИВКЭ и ИИК. 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Вспомогательное оборудование (ИБП, коммутаторы, </w:t>
      </w:r>
      <w:r>
        <w:rPr>
          <w:rFonts w:ascii="Times New Roman" w:eastAsia="Calibri" w:hAnsi="Times New Roman" w:cs="Times New Roman"/>
          <w:sz w:val="28"/>
          <w:szCs w:val="28"/>
        </w:rPr>
        <w:t>модемный пул, серверный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шкаф)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5BB9">
        <w:rPr>
          <w:rFonts w:ascii="Times New Roman" w:eastAsia="Calibri" w:hAnsi="Times New Roman" w:cs="Times New Roman"/>
          <w:sz w:val="28"/>
          <w:szCs w:val="28"/>
        </w:rPr>
        <w:t>призвано интегрировать и обеспечить непрерывное взаимодействие всех компонентов интеллектуальной системы учета электрической энергии как внутри комплекса, так и с внешними устройствами и пользователями.</w:t>
      </w:r>
    </w:p>
    <w:p w:rsidR="00816DE1" w:rsidRPr="00AB3A8B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Элементы ПАК ЦСОД должны быть продублированы с целью обеспечения отказоустойчивости системы. В случае выхода из строя любого из элементов ЦСОД должна быть возможность переключения его функции </w:t>
      </w:r>
      <w:r w:rsidRPr="00AB3A8B">
        <w:rPr>
          <w:rFonts w:ascii="Times New Roman" w:eastAsia="Calibri" w:hAnsi="Times New Roman" w:cs="Times New Roman"/>
          <w:sz w:val="28"/>
          <w:szCs w:val="28"/>
        </w:rPr>
        <w:t>на резервный элемент.</w:t>
      </w:r>
    </w:p>
    <w:p w:rsidR="00816DE1" w:rsidRPr="00AB3A8B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A8B">
        <w:rPr>
          <w:rFonts w:ascii="Times New Roman" w:eastAsia="Calibri" w:hAnsi="Times New Roman" w:cs="Times New Roman"/>
          <w:sz w:val="28"/>
          <w:szCs w:val="28"/>
        </w:rPr>
        <w:t>В ходе выбора программных сре</w:t>
      </w:r>
      <w:proofErr w:type="gramStart"/>
      <w:r w:rsidRPr="00AB3A8B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AB3A8B">
        <w:rPr>
          <w:rFonts w:ascii="Times New Roman" w:eastAsia="Calibri" w:hAnsi="Times New Roman" w:cs="Times New Roman"/>
          <w:sz w:val="28"/>
          <w:szCs w:val="28"/>
        </w:rPr>
        <w:t>я реализации проекта рассматриваются технические решения на базе программных средств производства АО ГК «Системы и технологии» и ООО «</w:t>
      </w:r>
      <w:proofErr w:type="spellStart"/>
      <w:r w:rsidRPr="00AB3A8B">
        <w:rPr>
          <w:rFonts w:ascii="Times New Roman" w:eastAsia="Calibri" w:hAnsi="Times New Roman" w:cs="Times New Roman"/>
          <w:sz w:val="28"/>
          <w:szCs w:val="28"/>
        </w:rPr>
        <w:t>Энфорс</w:t>
      </w:r>
      <w:proofErr w:type="spellEnd"/>
      <w:r w:rsidRPr="00AB3A8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(окончательный выбор поставщика программного обеспечения будет определен в ходе реализации пилотного проекта)</w:t>
      </w:r>
      <w:r w:rsidRPr="00AB3A8B">
        <w:rPr>
          <w:rFonts w:ascii="Times New Roman" w:eastAsia="Calibri" w:hAnsi="Times New Roman" w:cs="Times New Roman"/>
          <w:sz w:val="28"/>
          <w:szCs w:val="28"/>
        </w:rPr>
        <w:t>. На базе программных сре</w:t>
      </w:r>
      <w:proofErr w:type="gramStart"/>
      <w:r w:rsidRPr="00AB3A8B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AB3A8B">
        <w:rPr>
          <w:rFonts w:ascii="Times New Roman" w:eastAsia="Calibri" w:hAnsi="Times New Roman" w:cs="Times New Roman"/>
          <w:sz w:val="28"/>
          <w:szCs w:val="28"/>
        </w:rPr>
        <w:t xml:space="preserve">оизводства АО ГК «Системы и технологии» построена действующая АИИС КУЭ АО «НЭСК» предназначенная для работы на оптовом рынке. Данная АИИС находится в эксплуатации с 2007 года и зарекомендовала себя как надежное средство, позволяющая компании эффективно работать на оптовом рынке электроэнергии. 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3A8B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AB3A8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Start"/>
      <w:r w:rsidRPr="00AB3A8B">
        <w:rPr>
          <w:rFonts w:ascii="Times New Roman" w:eastAsia="Calibri" w:hAnsi="Times New Roman" w:cs="Times New Roman"/>
          <w:sz w:val="28"/>
          <w:szCs w:val="28"/>
        </w:rPr>
        <w:t>Пирамида</w:t>
      </w:r>
      <w:proofErr w:type="gramEnd"/>
      <w:r w:rsidRPr="00AB3A8B">
        <w:rPr>
          <w:rFonts w:ascii="Times New Roman" w:eastAsia="Calibri" w:hAnsi="Times New Roman" w:cs="Times New Roman"/>
          <w:sz w:val="28"/>
          <w:szCs w:val="28"/>
        </w:rPr>
        <w:t xml:space="preserve"> 2.0» использует ПАО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в своих автоматизированных системах учета и диспетчеризации на всей территории РФ. Использование аналогичных технических решений позволит осуществлять естественное взаимодействие между системами АО «НЭСК»  и иными сетевыми компаниями, использующими данный программный комплекс. 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Следует отметить, что большинство программных решений других производителей поддерживают только оборудование собственного производства. Пирамида 2.0 поддерживает широкий ассортимент оборудования различных производителей, как счетчиков, так и УСПД. Таким образом, в случае применения в системе по ряду причин оборудования различных производителей, не возникнет проблем с его совместной работой. 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обеспечения отказоустойчивости ИСУЭ целесообразно дублировать как сервера, на которых установлено Программное обеспечение, так и сервера БД</w:t>
      </w:r>
      <w:r w:rsidRPr="003C2F1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сравнения в АИИС КУЭ оптового рынка функционирует 3 сервера Пирамида 2000 и 2 сервера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SQL</w:t>
      </w:r>
      <w:r w:rsidRPr="003C2F1B">
        <w:rPr>
          <w:rFonts w:ascii="Times New Roman" w:eastAsia="Calibri" w:hAnsi="Times New Roman" w:cs="Times New Roman"/>
          <w:sz w:val="28"/>
          <w:szCs w:val="28"/>
        </w:rPr>
        <w:t xml:space="preserve"> 2012</w:t>
      </w:r>
      <w:r>
        <w:rPr>
          <w:rFonts w:ascii="Times New Roman" w:eastAsia="Calibri" w:hAnsi="Times New Roman" w:cs="Times New Roman"/>
          <w:sz w:val="28"/>
          <w:szCs w:val="28"/>
        </w:rPr>
        <w:t xml:space="preserve">).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Для этих целей для создаваемой ИСУЭ необходимо наличие 2 лицензий Пирамида 2.0 и 2 лицензий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AE0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SQL</w:t>
      </w:r>
      <w:r w:rsidRPr="00AE0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Server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Аппаратные требования к серверам должны соответствовать требованиям, предъявляемым производителями программного обеспечения (Пирамида 2.0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SQL</w:t>
      </w:r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Server</w:t>
      </w:r>
      <w:r w:rsidRPr="00E02267">
        <w:rPr>
          <w:rFonts w:ascii="Times New Roman" w:eastAsia="Calibri" w:hAnsi="Times New Roman" w:cs="Times New Roman"/>
          <w:sz w:val="28"/>
          <w:szCs w:val="28"/>
        </w:rPr>
        <w:t>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0D5A">
        <w:rPr>
          <w:rFonts w:ascii="Times New Roman" w:eastAsia="Calibri" w:hAnsi="Times New Roman" w:cs="Times New Roman"/>
          <w:sz w:val="28"/>
          <w:szCs w:val="28"/>
        </w:rPr>
        <w:t>АО ГК «Системы и технологии»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предусмотрены следующие аппаратные требования: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1F1DFA" wp14:editId="5CCDE8A5">
            <wp:extent cx="5940425" cy="1842898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ппаратные требования Пирамида 2.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4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Проанализировав требования ПО «Пирамида 2.0», а также учитывая, что к ИСУЭ будут подключаться интеллектуальные приборы учета по мере их выхода из строя/истечения сроков поверки, в рамках инвестиционной программы на 2021-2023 гг. целесообразно использовать в качестве серверов Пирамида 2.0 и сервера БД </w:t>
      </w:r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серверы HPE </w:t>
      </w:r>
      <w:proofErr w:type="spellStart"/>
      <w:r w:rsidRPr="00E02267">
        <w:rPr>
          <w:rFonts w:ascii="Times New Roman" w:eastAsia="Calibri" w:hAnsi="Times New Roman" w:cs="Times New Roman"/>
          <w:sz w:val="28"/>
          <w:szCs w:val="28"/>
        </w:rPr>
        <w:t>Proliant</w:t>
      </w:r>
      <w:proofErr w:type="spellEnd"/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DL580 Gen10 (P/N:</w:t>
      </w:r>
      <w:proofErr w:type="gramEnd"/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02267">
        <w:rPr>
          <w:rFonts w:ascii="Times New Roman" w:eastAsia="Calibri" w:hAnsi="Times New Roman" w:cs="Times New Roman"/>
          <w:sz w:val="28"/>
          <w:szCs w:val="28"/>
        </w:rPr>
        <w:t>P05671-B21)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Линейка серверов </w:t>
      </w:r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HPE </w:t>
      </w:r>
      <w:proofErr w:type="spellStart"/>
      <w:r w:rsidRPr="00E02267">
        <w:rPr>
          <w:rFonts w:ascii="Times New Roman" w:eastAsia="Calibri" w:hAnsi="Times New Roman" w:cs="Times New Roman"/>
          <w:sz w:val="28"/>
          <w:szCs w:val="28"/>
        </w:rPr>
        <w:t>Proliant</w:t>
      </w:r>
      <w:proofErr w:type="spellEnd"/>
      <w:r w:rsidRPr="00E02267">
        <w:rPr>
          <w:rFonts w:ascii="Times New Roman" w:eastAsia="Calibri" w:hAnsi="Times New Roman" w:cs="Times New Roman"/>
          <w:sz w:val="28"/>
          <w:szCs w:val="28"/>
        </w:rPr>
        <w:t xml:space="preserve"> DL580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успешно зарекомендовала себя в АИИС КУЭ АО «НЭСК», используемой для нужд оптового рынка, где данный сервер используется в качестве главного сервера БД с 2012 года. За это время сбоев в работе сервера зарегистрировано не было.  При покупке серверов рекомендуется приобретение трехлетней расширенной гарантии на них. </w:t>
      </w:r>
    </w:p>
    <w:p w:rsidR="00816DE1" w:rsidRPr="00E02267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Характеристики системного программного обеспечения и СУБД также должны соответствовать требованиям, предъявляемым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«Пирамида 2.0». 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основании указанных характеристик целесообразно на серверах ИСУЭ использовать операционную систему (ОС)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Server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2019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Standard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систему управления базами данных СУБД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SQL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Server</w:t>
      </w:r>
      <w:r w:rsidRPr="00565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4976">
        <w:rPr>
          <w:rFonts w:ascii="Times New Roman" w:eastAsia="Calibri" w:hAnsi="Times New Roman" w:cs="Times New Roman"/>
          <w:sz w:val="28"/>
          <w:szCs w:val="28"/>
        </w:rPr>
        <w:t xml:space="preserve">2019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Enterprise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Варианты моделей лицензирования ОС и СУБД должны соответствовать аппаратным характеристикам серверов по количеству процессоров, ядер и т.д. Лицензии должны закупаться единовременно, без необходимости дальнейших платежей за различные сервисы, подписки и возможности по модернизации.</w:t>
      </w:r>
    </w:p>
    <w:p w:rsidR="00816DE1" w:rsidRPr="0034364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Учитывая, что</w:t>
      </w:r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 в состав ПАК входит программный комплекс Пирамида 2.0, система управления базами данных (СУБД), операционные системы (ОС), серверное оборудование, на котором установлено указанное ПО, оборудование для организации связи </w:t>
      </w:r>
      <w:proofErr w:type="gramStart"/>
      <w:r w:rsidRPr="00343648">
        <w:rPr>
          <w:rFonts w:ascii="Times New Roman" w:eastAsia="Calibri" w:hAnsi="Times New Roman" w:cs="Times New Roman"/>
          <w:sz w:val="28"/>
          <w:szCs w:val="28"/>
        </w:rPr>
        <w:t>между</w:t>
      </w:r>
      <w:proofErr w:type="gramEnd"/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43648">
        <w:rPr>
          <w:rFonts w:ascii="Times New Roman" w:eastAsia="Calibri" w:hAnsi="Times New Roman" w:cs="Times New Roman"/>
          <w:sz w:val="28"/>
          <w:szCs w:val="28"/>
        </w:rPr>
        <w:t>ПАК</w:t>
      </w:r>
      <w:proofErr w:type="gramEnd"/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 и УСПД, внутреннее оборудование связи (коммутаторы). Согласно общим методологическим разъяснениям о допустимых способах бухгалтерского учета ИСУЭ, если программное обеспечение приобретается вместе с серверным оборудованием (в виде установленной на нем версии ПО), то такое программное обеспечение учитывается в стоимости объекта основных средств (сервера, ИС, ИСУ). </w:t>
      </w:r>
    </w:p>
    <w:p w:rsidR="00816DE1" w:rsidRPr="0034364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Таким образом, в целях учета приобретаемого АО «НЭСК» в 2021 году программного обеспечения в качестве объекта основных средств, во исполнение инвестиционной программы Общества необходимо осуществить установку ПАК на физический носитель (сервер). </w:t>
      </w:r>
    </w:p>
    <w:p w:rsidR="00816DE1" w:rsidRPr="00F81C34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отсутствие приобретенного серверного оборудования</w:t>
      </w:r>
      <w:r w:rsidRPr="00343648">
        <w:rPr>
          <w:rFonts w:ascii="Times New Roman" w:eastAsia="Calibri" w:hAnsi="Times New Roman" w:cs="Times New Roman"/>
          <w:sz w:val="28"/>
          <w:szCs w:val="28"/>
        </w:rPr>
        <w:t>, у АО «НЭСК» не будет оснований для создания объекта основных средств верхнего уровня «Программно-аппаратного комплекса (ПАК)».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6DE1" w:rsidRPr="00343648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В целях исполнения инвестиционного проекта АО «НЭСК» по созданию ИСУЭ необходимо предусмотреть приобретение ПАК ИСУЭ совместно с серверным оборудованием, работающие как единый функциональный блок, в рамках инвестиционного проекта с последующим учетом как единый объект основных средств. 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648">
        <w:rPr>
          <w:rFonts w:ascii="Times New Roman" w:eastAsia="Calibri" w:hAnsi="Times New Roman" w:cs="Times New Roman"/>
          <w:sz w:val="28"/>
          <w:szCs w:val="28"/>
        </w:rPr>
        <w:t xml:space="preserve">Таким образом, для реализации вышеизложенного, исходя из требований производителя программного обеспечения Пирамида 2.0, с учетом количественных характеристик создаваемой ИСУЭ </w:t>
      </w:r>
      <w:r>
        <w:rPr>
          <w:rFonts w:ascii="Times New Roman" w:eastAsia="Calibri" w:hAnsi="Times New Roman" w:cs="Times New Roman"/>
          <w:sz w:val="28"/>
          <w:szCs w:val="28"/>
        </w:rPr>
        <w:t>определена следующая конфигурация аппаратных средств: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816DE1" w:rsidRPr="006F6D77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кол-во, шт.</w:t>
            </w:r>
          </w:p>
        </w:tc>
      </w:tr>
      <w:tr w:rsidR="00816DE1" w:rsidRPr="006F6D77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IRZ MC52IT GSM МОДЕМ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16DE1" w:rsidRPr="006F6D77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обвязка для модема (антенна, БП, кабели)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</w:tr>
      <w:tr w:rsidR="00816DE1" w:rsidRPr="006F6D77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преобразователь NPORT 6650-32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</w:tr>
      <w:tr w:rsidR="00816DE1" w:rsidRPr="0022676B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40A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Сервер</w:t>
            </w:r>
            <w:r w:rsidRPr="00040A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1</w:t>
            </w:r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HPE ProLiant DL560 Gen10 (2U) (P/N:</w:t>
            </w:r>
            <w:proofErr w:type="gram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P02873-B21) </w:t>
            </w:r>
          </w:p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HPE ProLiant DL560 Gen10 (2U), 1 x 2U Rack, 4 x Xeon Gold 6230 (2.1GHz, 20C, 125W), 12 x 32GB DDR4 2933 RDIMM Dual Rank x4, 1 x P816i-a SR Gen10 LH (4Gb, 12G, 4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mSAS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), 1 x DL560 Gen10 8SFF HDD Bay3, 1 x DL560 Gen10 8SFF HDD Bay2, 1 x DL560 Gen10 8SFF HDD Bay1, 4</w:t>
            </w:r>
            <w:proofErr w:type="gram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x 900GB SAS 12G 15K 2.5in, 4 x 1600W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HotPlug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RPS Platinum, 1 x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iLO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Advanced Electronic License with 3yr Support on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iLO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Licensed Features, 1 x SATA DVD-ROM, 9.5mm,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JackBlack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Optical Drive, 1 x 1Gb Ethernet 4P 331FLR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Adptr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1 x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FlexibleLOM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Adapter, 631FLR-SFP28, 2x10/25Gb,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PCIe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(3.0), Broadcom, 1 x Ethernet Adapter, 631SFP28, x10/25Gb,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PCIe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(3.0), Broadcom, 1 x 96W Smart Storage Battery (up to 20 Devices) with 145mm Cable Kit, 1 x 2U Large Form Factor Ball Bearing Rail Kit, 1 x 2U Cable Management Arm, 1 x DL5x0 Gen10 CPU Version 2 Mezzanine Board Kit, 1 x DL5x0 Gen10 12Gb SAS Expander Card Kit with Cables, 1 x DL5x0 Gen10 12Gb SAS Expander Card Kit with Cables, 5 x Windows Server 2019 (16-Core)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Std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ROK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SW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6DE1" w:rsidRPr="0022676B" w:rsidTr="00325082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40A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Сервер</w:t>
            </w:r>
            <w:r w:rsidRPr="00040A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2</w:t>
            </w:r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HPE ProLiant DL560 Gen10 (2U) (P/N:</w:t>
            </w:r>
            <w:proofErr w:type="gram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P02873-B21) </w:t>
            </w:r>
          </w:p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HPE ProLiant DL560 Gen10 (2U) 1 x 2U Rack, 4 x Xeon Gold 6230 (2.1GHz, 20C, 125W), 12 x 32GB DDR4 2933 RDIMM Dual Rank x4, 12 x 32GB DDR4 2933 RDIMM Dual Rank x4, 1 x P816i-a SR Gen10 LH (4Gb, 12G, 4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mSAS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), 1 x DL560 Gen10 8SFF HDD Bay1, 1 x DL560 Gen10 8SFF HDD</w:t>
            </w:r>
            <w:proofErr w:type="gram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Bay2, 1 x DL560 Gen10 8SFF HDD Bay3, 4 x 900GB SAS 12G 15K 2.5in, 8 x 2.4TB SAS 12G 10K 2.5in, 8 x 2.4TB SAS 12G 10K 2.5in, 4 x 1600W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HotPlug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RPS Platinum, 1 x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iLO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Advanced Electronic License with 3yr Support on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iLO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Licensed Features, 1 x SATA DVD-ROM, 9.5mm,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JackBlack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Optical Drive, 1 x 1Gb Ethernet 4P 331FLR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Adptr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1 x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FlexibleLOM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Adapter, 631FLR-SFP28, 2x10/25Gb,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PCIe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(3.0), Broadcom, 1 x Ethernet Adapter, 631SFP28, 2x10/25Gb,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PCIe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(3.0), Broadcom, 1 x 96W Smart Storage Battery (up to 20 Devices) with 145mm Cable Kit, 1 x DL5x0 Gen10 CPU Version 2 Mezzanine Board Kit, 1 x 2U Large Form Factor Ball Bearing Rail Kit, 1 x 2U Cable Management Arm, 5 x Windows Server 2019 (16-Core)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Std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ROK </w:t>
            </w:r>
            <w:proofErr w:type="spellStart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SW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E1" w:rsidRPr="00040A57" w:rsidRDefault="00816DE1" w:rsidP="003250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0A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816DE1" w:rsidRDefault="00816DE1" w:rsidP="00816DE1">
      <w:pPr>
        <w:shd w:val="clear" w:color="auto" w:fill="FFFFFF"/>
        <w:tabs>
          <w:tab w:val="left" w:pos="0"/>
        </w:tabs>
        <w:spacing w:after="0" w:line="240" w:lineRule="auto"/>
        <w:ind w:firstLine="426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DE1" w:rsidRPr="006C4437" w:rsidRDefault="00816DE1" w:rsidP="00816DE1">
      <w:pPr>
        <w:shd w:val="clear" w:color="auto" w:fill="FFFFFF"/>
        <w:tabs>
          <w:tab w:val="left" w:pos="0"/>
        </w:tabs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06">
        <w:rPr>
          <w:rFonts w:ascii="Times New Roman" w:eastAsia="Calibri" w:hAnsi="Times New Roman" w:cs="Times New Roman"/>
          <w:b/>
          <w:sz w:val="28"/>
          <w:szCs w:val="28"/>
        </w:rPr>
        <w:t>Устройство сбора и передачи данных</w:t>
      </w:r>
    </w:p>
    <w:p w:rsidR="00816DE1" w:rsidRPr="00774306" w:rsidRDefault="00816DE1" w:rsidP="00816DE1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18">
        <w:rPr>
          <w:rFonts w:ascii="Times New Roman" w:eastAsia="Calibri" w:hAnsi="Times New Roman" w:cs="Times New Roman"/>
          <w:sz w:val="28"/>
          <w:szCs w:val="28"/>
        </w:rPr>
        <w:t>Устройство сбора и передачи данных (далее - УСПД) предназначены для, сбора, хранения и передачи накопленной информации на верхний уровень информационно измерительных систем, а также для управления и контроля состояния объекта автоматизации.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Принцип действия УСПД основан на обработке измерительной информации, собираемой со счетчиков энергоресурсов с цифровым интерфейсом (СЦИ), сохранении полученной информации в энергозависимой памяти.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УСПД </w:t>
      </w:r>
      <w:proofErr w:type="gramStart"/>
      <w:r w:rsidRPr="00A05BB9">
        <w:rPr>
          <w:rFonts w:ascii="Times New Roman" w:eastAsia="Calibri" w:hAnsi="Times New Roman" w:cs="Times New Roman"/>
          <w:sz w:val="28"/>
          <w:szCs w:val="28"/>
        </w:rPr>
        <w:t>выполняет роль</w:t>
      </w:r>
      <w:proofErr w:type="gramEnd"/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сервера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различными 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портами, настроенными на прием информации </w:t>
      </w:r>
      <w:r>
        <w:rPr>
          <w:rFonts w:ascii="Times New Roman" w:eastAsia="Calibri" w:hAnsi="Times New Roman" w:cs="Times New Roman"/>
          <w:sz w:val="28"/>
          <w:szCs w:val="28"/>
        </w:rPr>
        <w:t>через различные среды (</w:t>
      </w:r>
      <w:r w:rsidRPr="00A05BB9">
        <w:rPr>
          <w:rFonts w:ascii="Times New Roman" w:eastAsia="Calibri" w:hAnsi="Times New Roman" w:cs="Times New Roman"/>
          <w:sz w:val="28"/>
          <w:szCs w:val="28"/>
        </w:rPr>
        <w:t>PLC</w:t>
      </w:r>
      <w:r>
        <w:rPr>
          <w:rFonts w:ascii="Times New Roman" w:eastAsia="Calibri" w:hAnsi="Times New Roman" w:cs="Times New Roman"/>
          <w:sz w:val="28"/>
          <w:szCs w:val="28"/>
        </w:rPr>
        <w:t>, радио сигнал, витая пара)</w:t>
      </w: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 и на передачу синхросигнала. 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 xml:space="preserve">Основными функциями УСПД являются: 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сбор данных и диагностической информации со счетчиков с цифровым интерфейсом; 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накопление собранной информации в энергонезависимой памяти и передача собранной информации по запросу на верхний уровень информационно-измерительной системы;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измерение текущего времени; 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контроль и синхронизация текущего времени в счетчиках с цифровым интерфейсом;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управление изменяемыми параметрами счетчиков с цифровым интерфейсом (запись лимитов потребления, тарифных расписаний и др.); 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управление нагрузкой счетчиков с цифровым интерфейсом;</w:t>
      </w:r>
    </w:p>
    <w:p w:rsidR="00816DE1" w:rsidRPr="00A05BB9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BB9">
        <w:rPr>
          <w:rFonts w:ascii="Times New Roman" w:eastAsia="Calibri" w:hAnsi="Times New Roman" w:cs="Times New Roman"/>
          <w:sz w:val="28"/>
          <w:szCs w:val="28"/>
        </w:rPr>
        <w:t>•</w:t>
      </w:r>
      <w:r w:rsidRPr="00A05BB9">
        <w:rPr>
          <w:rFonts w:ascii="Times New Roman" w:eastAsia="Calibri" w:hAnsi="Times New Roman" w:cs="Times New Roman"/>
          <w:sz w:val="28"/>
          <w:szCs w:val="28"/>
        </w:rPr>
        <w:tab/>
        <w:t xml:space="preserve"> обеспечение прямого доступа к счетчикам с цифровым интерфейсом с верхних уровней информационно-измерительной системы. </w:t>
      </w:r>
    </w:p>
    <w:p w:rsidR="00816DE1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881">
        <w:rPr>
          <w:rFonts w:ascii="Times New Roman" w:eastAsia="Calibri" w:hAnsi="Times New Roman" w:cs="Times New Roman"/>
          <w:sz w:val="28"/>
          <w:szCs w:val="28"/>
        </w:rPr>
        <w:t>В целях обеспечения надежной и бесперебойной работы, ввиду возможной установки УСПД в местах с нестабильными климатическими условиями, а также необходимости механической защиты от вандализма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46BF4">
        <w:rPr>
          <w:rFonts w:ascii="Times New Roman" w:eastAsia="Calibri" w:hAnsi="Times New Roman" w:cs="Times New Roman"/>
          <w:sz w:val="28"/>
          <w:szCs w:val="28"/>
        </w:rPr>
        <w:t xml:space="preserve"> УСПД</w:t>
      </w:r>
      <w:r>
        <w:rPr>
          <w:rFonts w:ascii="Times New Roman" w:eastAsia="Calibri" w:hAnsi="Times New Roman" w:cs="Times New Roman"/>
          <w:sz w:val="28"/>
          <w:szCs w:val="28"/>
        </w:rPr>
        <w:t>, средства связи и элементы электропитания могут</w:t>
      </w:r>
      <w:r w:rsidRPr="00D46BF4">
        <w:rPr>
          <w:rFonts w:ascii="Times New Roman" w:eastAsia="Calibri" w:hAnsi="Times New Roman" w:cs="Times New Roman"/>
          <w:sz w:val="28"/>
          <w:szCs w:val="28"/>
        </w:rPr>
        <w:t xml:space="preserve"> быть </w:t>
      </w:r>
      <w:r>
        <w:rPr>
          <w:rFonts w:ascii="Times New Roman" w:eastAsia="Calibri" w:hAnsi="Times New Roman" w:cs="Times New Roman"/>
          <w:sz w:val="28"/>
          <w:szCs w:val="28"/>
        </w:rPr>
        <w:t>смонтированы</w:t>
      </w:r>
      <w:r w:rsidRPr="00D46BF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специализированный </w:t>
      </w:r>
      <w:r w:rsidRPr="00ED3718">
        <w:rPr>
          <w:rFonts w:ascii="Times New Roman" w:eastAsia="Calibri" w:hAnsi="Times New Roman" w:cs="Times New Roman"/>
          <w:sz w:val="28"/>
          <w:szCs w:val="28"/>
        </w:rPr>
        <w:t>шкаф,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обеспечивающий необходимую защиту оборудованию. Требования к шкафу:</w:t>
      </w:r>
    </w:p>
    <w:p w:rsidR="00816DE1" w:rsidRDefault="00816DE1" w:rsidP="00816DE1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Температура эксплуатации: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минус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40 до плюс 60 градусов Цельсия</w:t>
      </w:r>
    </w:p>
    <w:p w:rsidR="00816DE1" w:rsidRDefault="00816DE1" w:rsidP="00816DE1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 защиты шкафа не ниже IP54 по ГОСТ 14254-2015</w:t>
      </w:r>
    </w:p>
    <w:p w:rsidR="00816DE1" w:rsidRDefault="00816DE1" w:rsidP="00816DE1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Наличие автоматов электропитания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881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качестве УСПД рассматриваются контроллеры SM160-02M производства АО ГК «Системы и технологии» и CE805M производства АО «Концерн </w:t>
      </w:r>
      <w:proofErr w:type="spellStart"/>
      <w:r w:rsidRPr="00190881">
        <w:rPr>
          <w:rFonts w:ascii="Times New Roman" w:eastAsia="Calibri" w:hAnsi="Times New Roman" w:cs="Times New Roman"/>
          <w:sz w:val="28"/>
          <w:szCs w:val="28"/>
        </w:rPr>
        <w:t>Энергомера</w:t>
      </w:r>
      <w:proofErr w:type="spellEnd"/>
      <w:r w:rsidRPr="00190881">
        <w:rPr>
          <w:rFonts w:ascii="Times New Roman" w:eastAsia="Calibri" w:hAnsi="Times New Roman" w:cs="Times New Roman"/>
          <w:sz w:val="28"/>
          <w:szCs w:val="28"/>
        </w:rPr>
        <w:t xml:space="preserve">». Обе модели позволяют подключать до 4000  счетчиков электроэнергии (однако по действующему законодательству запрещено подключать на один УСПД более 750 приборов учета), позволяют осуществлять дистанционное ограничение энергопотребления, позволяют осуществлять подключение счетчиков, в том </w:t>
      </w:r>
      <w:r w:rsidRPr="001908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числе и прямым кабельным соединением (интерфейс </w:t>
      </w:r>
      <w:r w:rsidRPr="00190881">
        <w:rPr>
          <w:rFonts w:ascii="Times New Roman" w:eastAsia="Calibri" w:hAnsi="Times New Roman" w:cs="Times New Roman"/>
          <w:sz w:val="28"/>
          <w:szCs w:val="28"/>
          <w:lang w:val="en-US"/>
        </w:rPr>
        <w:t>RS</w:t>
      </w:r>
      <w:r w:rsidRPr="00190881">
        <w:rPr>
          <w:rFonts w:ascii="Times New Roman" w:eastAsia="Calibri" w:hAnsi="Times New Roman" w:cs="Times New Roman"/>
          <w:sz w:val="28"/>
          <w:szCs w:val="28"/>
        </w:rPr>
        <w:t>-485), поддерживают перспективный протокол СПОДЭС и полностью удовлетворяют требованиям 522-ФЗ. Оба типа УСПД интегрированы в программный комплекс «Пирамида 2.0».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0881">
        <w:rPr>
          <w:rFonts w:ascii="Times New Roman" w:eastAsia="Calibri" w:hAnsi="Times New Roman" w:cs="Times New Roman"/>
          <w:sz w:val="28"/>
          <w:szCs w:val="28"/>
        </w:rPr>
        <w:t xml:space="preserve">Гарантия на вышеуказанные интеллектуальные контроллеры составляет 5 лет, а </w:t>
      </w:r>
      <w:proofErr w:type="spellStart"/>
      <w:r w:rsidRPr="00190881">
        <w:rPr>
          <w:rFonts w:ascii="Times New Roman" w:eastAsia="Calibri" w:hAnsi="Times New Roman" w:cs="Times New Roman"/>
          <w:sz w:val="28"/>
          <w:szCs w:val="28"/>
        </w:rPr>
        <w:t>межповерочный</w:t>
      </w:r>
      <w:proofErr w:type="spellEnd"/>
      <w:r w:rsidRPr="00190881">
        <w:rPr>
          <w:rFonts w:ascii="Times New Roman" w:eastAsia="Calibri" w:hAnsi="Times New Roman" w:cs="Times New Roman"/>
          <w:sz w:val="28"/>
          <w:szCs w:val="28"/>
        </w:rPr>
        <w:t xml:space="preserve"> интервал 10 лет. Это значительно снижает затраты на последующее техническое обслуживание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системы.</w:t>
      </w:r>
    </w:p>
    <w:p w:rsidR="00816DE1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DE1" w:rsidRPr="00DD06D9" w:rsidRDefault="00816DE1" w:rsidP="00816DE1">
      <w:pPr>
        <w:tabs>
          <w:tab w:val="left" w:pos="0"/>
        </w:tabs>
        <w:spacing w:line="240" w:lineRule="auto"/>
        <w:ind w:firstLine="426"/>
        <w:jc w:val="center"/>
        <w:rPr>
          <w:rFonts w:ascii="Times New Roman" w:hAnsi="Times New Roman" w:cs="Times New Roman"/>
          <w:b/>
          <w:sz w:val="28"/>
        </w:rPr>
      </w:pPr>
      <w:r w:rsidRPr="00ED3718">
        <w:rPr>
          <w:rFonts w:ascii="Times New Roman" w:hAnsi="Times New Roman" w:cs="Times New Roman"/>
          <w:b/>
          <w:sz w:val="28"/>
        </w:rPr>
        <w:t xml:space="preserve">Информация о количестве шкафов </w:t>
      </w:r>
      <w:r w:rsidRPr="00ED3718">
        <w:rPr>
          <w:rFonts w:ascii="Times New Roman" w:eastAsia="Calibri" w:hAnsi="Times New Roman" w:cs="Times New Roman"/>
          <w:b/>
          <w:sz w:val="28"/>
          <w:szCs w:val="28"/>
        </w:rPr>
        <w:t xml:space="preserve">сбора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передачи </w:t>
      </w:r>
      <w:r w:rsidRPr="00ED3718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</w:p>
    <w:p w:rsidR="00816DE1" w:rsidRPr="00AC6707" w:rsidRDefault="00816DE1" w:rsidP="00816DE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ED3718">
        <w:rPr>
          <w:rFonts w:ascii="Times New Roman" w:hAnsi="Times New Roman" w:cs="Times New Roman"/>
          <w:sz w:val="28"/>
        </w:rPr>
        <w:t>В 2021 году, в соответствии с утвержденной Инвестиционной программой, будет установлено 2 317 шкафов сбора</w:t>
      </w:r>
      <w:r>
        <w:rPr>
          <w:rFonts w:ascii="Times New Roman" w:hAnsi="Times New Roman" w:cs="Times New Roman"/>
          <w:sz w:val="28"/>
        </w:rPr>
        <w:t xml:space="preserve"> и передачи</w:t>
      </w:r>
      <w:r w:rsidRPr="00ED3718">
        <w:rPr>
          <w:rFonts w:ascii="Times New Roman" w:hAnsi="Times New Roman" w:cs="Times New Roman"/>
          <w:sz w:val="28"/>
        </w:rPr>
        <w:t xml:space="preserve"> данных для предоставления минимального набора функций интеллектуальной системы учета потребителям в соответствии с требованиями Федерального закона № 522-ФЗ.</w:t>
      </w:r>
    </w:p>
    <w:p w:rsidR="00AB1BE9" w:rsidRDefault="00816DE1" w:rsidP="00816DE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53E">
        <w:rPr>
          <w:rFonts w:ascii="Times New Roman" w:eastAsia="Calibri" w:hAnsi="Times New Roman" w:cs="Times New Roman"/>
          <w:sz w:val="28"/>
          <w:szCs w:val="28"/>
        </w:rPr>
        <w:t>При этом общее количество МКД по уточненным данным составляет 19 678. В 2022 год планируется установить 8681 УСПД, в 2023 - 8680 УСПД (расчет количества УСПД произведен по количеству МКД). Следует отметить, что в ходе реализации проекта  может быть определено,  что на ряде домов, ввиду специфической конструкции, необходимо будет установить несколько  УСПД.</w:t>
      </w:r>
      <w:r w:rsidR="00AB1BE9" w:rsidRPr="008A353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11E20" w:rsidRPr="00971E7A" w:rsidRDefault="00511E20" w:rsidP="00971E7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0254" w:rsidRPr="00AB793E" w:rsidRDefault="00DD06D9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B793E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AB1BE9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Про</w:t>
      </w:r>
      <w:r w:rsidR="00BF0254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ект корректировки инвестиционного проект</w:t>
      </w:r>
      <w:r w:rsidR="00026300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r w:rsidR="00AB1BE9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B1BE9" w:rsidRPr="00AB793E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G</w:t>
      </w:r>
      <w:r w:rsidR="00AB1BE9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_1.1.</w:t>
      </w:r>
      <w:r w:rsidR="00026300">
        <w:rPr>
          <w:rFonts w:ascii="Times New Roman" w:eastAsia="Calibri" w:hAnsi="Times New Roman" w:cs="Times New Roman"/>
          <w:b/>
          <w:i/>
          <w:sz w:val="28"/>
          <w:szCs w:val="28"/>
        </w:rPr>
        <w:t> </w:t>
      </w:r>
      <w:r w:rsidR="00AB1BE9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«Строительство административного здания в городе Краснодаре, в том числе п</w:t>
      </w:r>
      <w:r w:rsidR="00BF0254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риобретение земельного участка»</w:t>
      </w:r>
      <w:r w:rsidR="00AB793E"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AB793E" w:rsidRDefault="00816DE1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501">
        <w:rPr>
          <w:rFonts w:ascii="Times New Roman" w:eastAsia="Calibri" w:hAnsi="Times New Roman" w:cs="Times New Roman"/>
          <w:sz w:val="28"/>
          <w:szCs w:val="28"/>
        </w:rPr>
        <w:t>Данный инвестиционный проект</w:t>
      </w:r>
      <w:r w:rsidR="00AB793E" w:rsidRPr="00211501">
        <w:rPr>
          <w:rFonts w:ascii="Times New Roman" w:eastAsia="Calibri" w:hAnsi="Times New Roman" w:cs="Times New Roman"/>
          <w:sz w:val="28"/>
          <w:szCs w:val="28"/>
        </w:rPr>
        <w:t xml:space="preserve"> утвержден </w:t>
      </w:r>
      <w:r w:rsidRPr="00211501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министерства ТЭК и ЖКХ Краснодарского края от 27.12.2017 года №412</w:t>
      </w:r>
      <w:r w:rsidR="00AB793E" w:rsidRPr="00211501">
        <w:rPr>
          <w:rFonts w:ascii="Times New Roman" w:eastAsia="Calibri" w:hAnsi="Times New Roman" w:cs="Times New Roman"/>
          <w:sz w:val="28"/>
          <w:szCs w:val="28"/>
        </w:rPr>
        <w:t>.</w:t>
      </w: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793E" w:rsidRPr="00AB793E" w:rsidRDefault="00A473BE" w:rsidP="00211501">
      <w:pPr>
        <w:pStyle w:val="a3"/>
        <w:tabs>
          <w:tab w:val="left" w:pos="0"/>
          <w:tab w:val="left" w:pos="331"/>
        </w:tabs>
        <w:spacing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73BE">
        <w:rPr>
          <w:rFonts w:ascii="Times New Roman" w:hAnsi="Times New Roman" w:cs="Times New Roman"/>
          <w:sz w:val="28"/>
          <w:szCs w:val="28"/>
        </w:rPr>
        <w:t>В процессе выполнения работ по разработке проектной документации, выполнения строительно-монтажных работ по строительству административного здания возник ряд обстоятельств</w:t>
      </w:r>
      <w:r w:rsidR="00690E42">
        <w:rPr>
          <w:rFonts w:ascii="Times New Roman" w:hAnsi="Times New Roman" w:cs="Times New Roman"/>
          <w:sz w:val="28"/>
          <w:szCs w:val="28"/>
        </w:rPr>
        <w:t>, которые невозможно было предусмотреть при подготовке паспорта инвестиционного проекта</w:t>
      </w:r>
      <w:r w:rsidR="00AB793E" w:rsidRPr="00A473BE">
        <w:rPr>
          <w:rFonts w:ascii="Times New Roman" w:hAnsi="Times New Roman" w:cs="Times New Roman"/>
          <w:sz w:val="28"/>
          <w:szCs w:val="28"/>
        </w:rPr>
        <w:t>:</w:t>
      </w:r>
      <w:r w:rsidR="00AB793E" w:rsidRPr="00AB7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93E" w:rsidRPr="00AB793E" w:rsidRDefault="00AB793E" w:rsidP="00211501">
      <w:pPr>
        <w:pStyle w:val="a3"/>
        <w:numPr>
          <w:ilvl w:val="0"/>
          <w:numId w:val="11"/>
        </w:numPr>
        <w:tabs>
          <w:tab w:val="left" w:pos="0"/>
          <w:tab w:val="left" w:pos="331"/>
        </w:tabs>
        <w:spacing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 xml:space="preserve">В ходе проведения изыскательских работ на территории земельного участка был выявлен высокий уровень грунтовых вод, что повлекло за собой доработку проекта в части конструктивных решений (определение типа свай, их количества и параметров, проведение расчета конструкций). </w:t>
      </w:r>
    </w:p>
    <w:p w:rsidR="00AB793E" w:rsidRPr="00AB793E" w:rsidRDefault="00AB793E" w:rsidP="00211501">
      <w:pPr>
        <w:pStyle w:val="a3"/>
        <w:numPr>
          <w:ilvl w:val="0"/>
          <w:numId w:val="11"/>
        </w:numPr>
        <w:tabs>
          <w:tab w:val="left" w:pos="0"/>
          <w:tab w:val="left" w:pos="331"/>
        </w:tabs>
        <w:spacing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 xml:space="preserve">В </w:t>
      </w:r>
      <w:r w:rsidRPr="00F00130">
        <w:rPr>
          <w:rFonts w:ascii="Times New Roman" w:hAnsi="Times New Roman" w:cs="Times New Roman"/>
          <w:sz w:val="28"/>
          <w:szCs w:val="28"/>
        </w:rPr>
        <w:t>ходе согласования проектной документации на строительство административного здания произведены расчеты нагрузок (инженерных сетей) для получения технических условий и заключения договоров на технологическое подключение к сетям хозяйственно-бытового водоотведения, ливневой канализации, водоснабжения</w:t>
      </w:r>
      <w:r w:rsidRPr="00AB793E">
        <w:rPr>
          <w:rFonts w:ascii="Times New Roman" w:hAnsi="Times New Roman" w:cs="Times New Roman"/>
          <w:sz w:val="28"/>
          <w:szCs w:val="28"/>
        </w:rPr>
        <w:t xml:space="preserve">, энергоснабжения и газоснабжения. </w:t>
      </w:r>
    </w:p>
    <w:p w:rsidR="00AB793E" w:rsidRPr="00AB793E" w:rsidRDefault="00AB793E" w:rsidP="00211501">
      <w:pPr>
        <w:pStyle w:val="a3"/>
        <w:numPr>
          <w:ilvl w:val="0"/>
          <w:numId w:val="11"/>
        </w:num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>Для получения разрешения на строительство потребовалось дополнительное согласование:</w:t>
      </w:r>
    </w:p>
    <w:p w:rsidR="00AB793E" w:rsidRPr="00AB793E" w:rsidRDefault="00AB793E" w:rsidP="00211501">
      <w:pPr>
        <w:tabs>
          <w:tab w:val="left" w:pos="0"/>
          <w:tab w:val="left" w:pos="331"/>
        </w:tabs>
        <w:spacing w:after="0" w:line="240" w:lineRule="auto"/>
        <w:ind w:left="34" w:firstLine="426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lastRenderedPageBreak/>
        <w:t>- задания на проектирование с управлением социальной защиты населения г. Краснодара;</w:t>
      </w:r>
    </w:p>
    <w:p w:rsidR="00AB793E" w:rsidRPr="00AB793E" w:rsidRDefault="00AB793E" w:rsidP="00211501">
      <w:p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 xml:space="preserve">- проектной документации с аэродромом «Краснодар-Центральный», в связи с расположением участка строительства на </w:t>
      </w:r>
      <w:proofErr w:type="spellStart"/>
      <w:r w:rsidRPr="00AB793E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Pr="00AB793E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AB793E" w:rsidRDefault="00AB793E" w:rsidP="00211501">
      <w:p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 xml:space="preserve">- проектной документации с </w:t>
      </w:r>
      <w:proofErr w:type="spellStart"/>
      <w:r w:rsidRPr="00AB793E"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 w:rsidRPr="00AB793E">
        <w:rPr>
          <w:rFonts w:ascii="Times New Roman" w:hAnsi="Times New Roman" w:cs="Times New Roman"/>
          <w:sz w:val="28"/>
          <w:szCs w:val="28"/>
        </w:rPr>
        <w:t xml:space="preserve"> по Краснодарскому краю в связи расположением участка вблизи  санитарно-защитной зоны соседних предприятий.</w:t>
      </w:r>
    </w:p>
    <w:p w:rsidR="00EB3A29" w:rsidRPr="00AB793E" w:rsidRDefault="00AB793E" w:rsidP="00211501">
      <w:pPr>
        <w:tabs>
          <w:tab w:val="left" w:pos="0"/>
          <w:tab w:val="left" w:pos="331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 xml:space="preserve">4. </w:t>
      </w:r>
      <w:r w:rsidR="00EB3A29" w:rsidRPr="00AB793E">
        <w:rPr>
          <w:rFonts w:ascii="Times New Roman" w:eastAsia="Calibri" w:hAnsi="Times New Roman" w:cs="Times New Roman"/>
          <w:sz w:val="28"/>
          <w:szCs w:val="28"/>
        </w:rPr>
        <w:t xml:space="preserve">Введение ограничительных мер из-за распространения новой </w:t>
      </w:r>
      <w:proofErr w:type="spellStart"/>
      <w:r w:rsidR="00EB3A29" w:rsidRPr="00AB793E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="00EB3A29" w:rsidRPr="00AB793E">
        <w:rPr>
          <w:rFonts w:ascii="Times New Roman" w:eastAsia="Calibri" w:hAnsi="Times New Roman" w:cs="Times New Roman"/>
          <w:sz w:val="28"/>
          <w:szCs w:val="28"/>
        </w:rPr>
        <w:t xml:space="preserve"> инфекции (COVID-19) на территории Краснодарского края, повлекло за собой: </w:t>
      </w:r>
    </w:p>
    <w:p w:rsidR="00EB3A29" w:rsidRPr="00AB793E" w:rsidRDefault="00EB3A29" w:rsidP="00211501">
      <w:p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- сокращение численности квалифицированных рабочих, выполняющих бетонные работы по устройству монолитного </w:t>
      </w:r>
      <w:proofErr w:type="gramStart"/>
      <w:r w:rsidRPr="00AB793E">
        <w:rPr>
          <w:rFonts w:ascii="Times New Roman" w:eastAsia="Calibri" w:hAnsi="Times New Roman" w:cs="Times New Roman"/>
          <w:sz w:val="28"/>
          <w:szCs w:val="28"/>
        </w:rPr>
        <w:t>ж/б</w:t>
      </w:r>
      <w:proofErr w:type="gramEnd"/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 каркаса здания;</w:t>
      </w:r>
    </w:p>
    <w:p w:rsidR="00EB3A29" w:rsidRPr="00AB793E" w:rsidRDefault="00EB3A29" w:rsidP="00211501">
      <w:p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93E">
        <w:rPr>
          <w:rFonts w:ascii="Times New Roman" w:eastAsia="Calibri" w:hAnsi="Times New Roman" w:cs="Times New Roman"/>
          <w:sz w:val="28"/>
          <w:szCs w:val="28"/>
        </w:rPr>
        <w:t>- приостановление деятельности отдельных поставщиков инертных материалов,  происходили  перебои с поставкой бетона;</w:t>
      </w:r>
    </w:p>
    <w:p w:rsidR="00EB3A29" w:rsidRPr="00AB793E" w:rsidRDefault="00EB3A29" w:rsidP="00211501">
      <w:pPr>
        <w:tabs>
          <w:tab w:val="left" w:pos="0"/>
          <w:tab w:val="left" w:pos="331"/>
        </w:tabs>
        <w:spacing w:after="0" w:line="240" w:lineRule="auto"/>
        <w:ind w:left="34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93E">
        <w:rPr>
          <w:rFonts w:ascii="Times New Roman" w:eastAsia="Calibri" w:hAnsi="Times New Roman" w:cs="Times New Roman"/>
          <w:sz w:val="28"/>
          <w:szCs w:val="28"/>
        </w:rPr>
        <w:t>- введение пропускного режима препятствовала поставке в установленные сроки строительных материалов и оборудования (арматура, кирпич, блок, клей, пожарные резервуары, насосное пожаротушение и т.д.);</w:t>
      </w:r>
    </w:p>
    <w:p w:rsidR="00EB3A29" w:rsidRPr="00AB793E" w:rsidRDefault="00EB3A29" w:rsidP="0021150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- снижение производительности работ при строительстве объектов АО «НЭСК». </w:t>
      </w:r>
    </w:p>
    <w:p w:rsidR="00EB3A29" w:rsidRPr="00AB793E" w:rsidRDefault="00EB3A29" w:rsidP="00211501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3D011D">
        <w:rPr>
          <w:rFonts w:ascii="Times New Roman" w:eastAsia="Calibri" w:hAnsi="Times New Roman" w:cs="Times New Roman"/>
          <w:sz w:val="28"/>
          <w:szCs w:val="28"/>
        </w:rPr>
        <w:t xml:space="preserve">Ввиду указанных обстоятельств, а также </w:t>
      </w:r>
      <w:r w:rsidR="003D011D" w:rsidRPr="00AB793E">
        <w:rPr>
          <w:rFonts w:ascii="Times New Roman" w:hAnsi="Times New Roman" w:cs="Times New Roman"/>
          <w:sz w:val="28"/>
          <w:szCs w:val="28"/>
        </w:rPr>
        <w:t>сложной эпидемиологической обстановки в Краснодарском крае</w:t>
      </w:r>
      <w:r w:rsidRPr="00AB793E">
        <w:rPr>
          <w:rFonts w:ascii="Times New Roman" w:eastAsia="Calibri" w:hAnsi="Times New Roman" w:cs="Times New Roman"/>
          <w:sz w:val="28"/>
          <w:szCs w:val="28"/>
        </w:rPr>
        <w:t>, произошло отставание от графиков производства работ, предусмотренных договором строительного подряда. Для восстановления производства работ на строительн</w:t>
      </w:r>
      <w:r w:rsidR="003D011D">
        <w:rPr>
          <w:rFonts w:ascii="Times New Roman" w:eastAsia="Calibri" w:hAnsi="Times New Roman" w:cs="Times New Roman"/>
          <w:sz w:val="28"/>
          <w:szCs w:val="28"/>
        </w:rPr>
        <w:t>ой</w:t>
      </w: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 площадк</w:t>
      </w:r>
      <w:r w:rsidR="003D011D">
        <w:rPr>
          <w:rFonts w:ascii="Times New Roman" w:eastAsia="Calibri" w:hAnsi="Times New Roman" w:cs="Times New Roman"/>
          <w:sz w:val="28"/>
          <w:szCs w:val="28"/>
        </w:rPr>
        <w:t>е</w:t>
      </w: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, понадобилось дополнительное время, с подрядной организацией подписаны соответствующие дополнительные соглашения к договору строительного подряда. </w:t>
      </w:r>
      <w:r w:rsidR="00757C92" w:rsidRPr="00757C92">
        <w:rPr>
          <w:rFonts w:ascii="Times New Roman" w:eastAsia="Calibri" w:hAnsi="Times New Roman" w:cs="Times New Roman"/>
          <w:sz w:val="28"/>
          <w:szCs w:val="28"/>
        </w:rPr>
        <w:t>АО «НЭСК» ввиду сложившихся, не предусмотренных технических мероприятий, а также сложной эпидемиологической обстановки в Краснодарском крае вынуждено перенести сроки ввода</w:t>
      </w:r>
      <w:r w:rsidR="00757C92">
        <w:rPr>
          <w:rFonts w:ascii="Times New Roman" w:eastAsia="Calibri" w:hAnsi="Times New Roman" w:cs="Times New Roman"/>
          <w:sz w:val="28"/>
          <w:szCs w:val="28"/>
        </w:rPr>
        <w:t xml:space="preserve"> в эксплуатацию</w:t>
      </w:r>
      <w:r w:rsidR="00757C92" w:rsidRPr="00757C92">
        <w:rPr>
          <w:rFonts w:ascii="Times New Roman" w:eastAsia="Calibri" w:hAnsi="Times New Roman" w:cs="Times New Roman"/>
          <w:sz w:val="28"/>
          <w:szCs w:val="28"/>
        </w:rPr>
        <w:t xml:space="preserve"> построенного административного здания на 4й квартал текущего года.</w:t>
      </w:r>
    </w:p>
    <w:p w:rsidR="00B46F20" w:rsidRDefault="00812D4F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793E">
        <w:rPr>
          <w:rFonts w:ascii="Times New Roman" w:hAnsi="Times New Roman" w:cs="Times New Roman"/>
          <w:sz w:val="28"/>
          <w:szCs w:val="28"/>
        </w:rPr>
        <w:t>В целях улучшения качества и удобства обслуживания потребителей, АО «НЭСК»</w:t>
      </w:r>
      <w:r w:rsidR="00757C92">
        <w:rPr>
          <w:rFonts w:ascii="Times New Roman" w:hAnsi="Times New Roman" w:cs="Times New Roman"/>
          <w:sz w:val="28"/>
          <w:szCs w:val="28"/>
        </w:rPr>
        <w:t xml:space="preserve"> в процессе проектирования предусмотрело </w:t>
      </w:r>
      <w:r w:rsidR="00B46F20">
        <w:rPr>
          <w:rFonts w:ascii="Times New Roman" w:hAnsi="Times New Roman" w:cs="Times New Roman"/>
          <w:sz w:val="28"/>
          <w:szCs w:val="28"/>
        </w:rPr>
        <w:t xml:space="preserve">на первом этаже </w:t>
      </w:r>
      <w:r w:rsidR="00757C92">
        <w:rPr>
          <w:rFonts w:ascii="Times New Roman" w:hAnsi="Times New Roman" w:cs="Times New Roman"/>
          <w:sz w:val="28"/>
          <w:szCs w:val="28"/>
        </w:rPr>
        <w:t>разме</w:t>
      </w:r>
      <w:r w:rsidR="00B46F20">
        <w:rPr>
          <w:rFonts w:ascii="Times New Roman" w:hAnsi="Times New Roman" w:cs="Times New Roman"/>
          <w:sz w:val="28"/>
          <w:szCs w:val="28"/>
        </w:rPr>
        <w:t xml:space="preserve">щение </w:t>
      </w:r>
      <w:r w:rsidR="00757C92">
        <w:rPr>
          <w:rFonts w:ascii="Times New Roman" w:hAnsi="Times New Roman" w:cs="Times New Roman"/>
          <w:sz w:val="28"/>
          <w:szCs w:val="28"/>
        </w:rPr>
        <w:t>центр</w:t>
      </w:r>
      <w:r w:rsidR="00B46F20">
        <w:rPr>
          <w:rFonts w:ascii="Times New Roman" w:hAnsi="Times New Roman" w:cs="Times New Roman"/>
          <w:sz w:val="28"/>
          <w:szCs w:val="28"/>
        </w:rPr>
        <w:t>а</w:t>
      </w:r>
      <w:r w:rsidR="00757C92">
        <w:rPr>
          <w:rFonts w:ascii="Times New Roman" w:hAnsi="Times New Roman" w:cs="Times New Roman"/>
          <w:sz w:val="28"/>
          <w:szCs w:val="28"/>
        </w:rPr>
        <w:t xml:space="preserve"> по обслуживанию потребителей, отвечающ</w:t>
      </w:r>
      <w:r w:rsidR="00B46F20">
        <w:rPr>
          <w:rFonts w:ascii="Times New Roman" w:hAnsi="Times New Roman" w:cs="Times New Roman"/>
          <w:sz w:val="28"/>
          <w:szCs w:val="28"/>
        </w:rPr>
        <w:t>его</w:t>
      </w:r>
      <w:r w:rsidR="00757C92">
        <w:rPr>
          <w:rFonts w:ascii="Times New Roman" w:hAnsi="Times New Roman" w:cs="Times New Roman"/>
          <w:sz w:val="28"/>
          <w:szCs w:val="28"/>
        </w:rPr>
        <w:t xml:space="preserve"> требованиям по обслуживанию маломобильных групп населения</w:t>
      </w:r>
      <w:r w:rsidR="00B46F20">
        <w:rPr>
          <w:rFonts w:ascii="Times New Roman" w:hAnsi="Times New Roman" w:cs="Times New Roman"/>
          <w:sz w:val="28"/>
          <w:szCs w:val="28"/>
        </w:rPr>
        <w:t xml:space="preserve">. </w:t>
      </w:r>
      <w:r w:rsidR="00B46F20" w:rsidRPr="00B46F20">
        <w:rPr>
          <w:rFonts w:ascii="Times New Roman" w:hAnsi="Times New Roman" w:cs="Times New Roman"/>
          <w:sz w:val="28"/>
          <w:szCs w:val="28"/>
        </w:rPr>
        <w:t>В соответствии нормами действующего законодательства при  проектировании</w:t>
      </w:r>
      <w:r w:rsidR="00757C92">
        <w:rPr>
          <w:rFonts w:ascii="Times New Roman" w:hAnsi="Times New Roman" w:cs="Times New Roman"/>
          <w:sz w:val="28"/>
          <w:szCs w:val="28"/>
        </w:rPr>
        <w:t>, учт</w:t>
      </w:r>
      <w:r w:rsidR="00B46F20">
        <w:rPr>
          <w:rFonts w:ascii="Times New Roman" w:hAnsi="Times New Roman" w:cs="Times New Roman"/>
          <w:sz w:val="28"/>
          <w:szCs w:val="28"/>
        </w:rPr>
        <w:t>ена</w:t>
      </w:r>
      <w:r w:rsidR="00757C92">
        <w:rPr>
          <w:rFonts w:ascii="Times New Roman" w:hAnsi="Times New Roman" w:cs="Times New Roman"/>
          <w:sz w:val="28"/>
          <w:szCs w:val="28"/>
        </w:rPr>
        <w:t xml:space="preserve"> потребност</w:t>
      </w:r>
      <w:r w:rsidR="00B46F20">
        <w:rPr>
          <w:rFonts w:ascii="Times New Roman" w:hAnsi="Times New Roman" w:cs="Times New Roman"/>
          <w:sz w:val="28"/>
          <w:szCs w:val="28"/>
        </w:rPr>
        <w:t>ь</w:t>
      </w:r>
      <w:r w:rsidR="00757C92">
        <w:rPr>
          <w:rFonts w:ascii="Times New Roman" w:hAnsi="Times New Roman" w:cs="Times New Roman"/>
          <w:sz w:val="28"/>
          <w:szCs w:val="28"/>
        </w:rPr>
        <w:t xml:space="preserve"> в парковочных местах</w:t>
      </w:r>
      <w:r w:rsidR="00B46F20">
        <w:rPr>
          <w:rFonts w:ascii="Times New Roman" w:hAnsi="Times New Roman" w:cs="Times New Roman"/>
          <w:sz w:val="28"/>
          <w:szCs w:val="28"/>
        </w:rPr>
        <w:t>.</w:t>
      </w:r>
      <w:r w:rsidR="00757C92">
        <w:rPr>
          <w:rFonts w:ascii="Times New Roman" w:hAnsi="Times New Roman" w:cs="Times New Roman"/>
          <w:sz w:val="28"/>
          <w:szCs w:val="28"/>
        </w:rPr>
        <w:t xml:space="preserve"> По </w:t>
      </w:r>
      <w:r w:rsidR="00B46F20">
        <w:rPr>
          <w:rFonts w:ascii="Times New Roman" w:hAnsi="Times New Roman" w:cs="Times New Roman"/>
          <w:sz w:val="28"/>
          <w:szCs w:val="28"/>
        </w:rPr>
        <w:t xml:space="preserve">окончании проектирования и получения </w:t>
      </w:r>
      <w:r w:rsidR="00757C92">
        <w:rPr>
          <w:rFonts w:ascii="Times New Roman" w:hAnsi="Times New Roman" w:cs="Times New Roman"/>
          <w:sz w:val="28"/>
          <w:szCs w:val="28"/>
        </w:rPr>
        <w:t>положительного заключения экспертизы проектной документ</w:t>
      </w:r>
      <w:r w:rsidR="00E10DE2">
        <w:rPr>
          <w:rFonts w:ascii="Times New Roman" w:hAnsi="Times New Roman" w:cs="Times New Roman"/>
          <w:sz w:val="28"/>
          <w:szCs w:val="28"/>
        </w:rPr>
        <w:t>ации разработаны локально – сме</w:t>
      </w:r>
      <w:r w:rsidR="00757C92">
        <w:rPr>
          <w:rFonts w:ascii="Times New Roman" w:hAnsi="Times New Roman" w:cs="Times New Roman"/>
          <w:sz w:val="28"/>
          <w:szCs w:val="28"/>
        </w:rPr>
        <w:t>тные расчеты</w:t>
      </w:r>
      <w:r w:rsidR="00B46F20">
        <w:rPr>
          <w:rFonts w:ascii="Times New Roman" w:hAnsi="Times New Roman" w:cs="Times New Roman"/>
          <w:sz w:val="28"/>
          <w:szCs w:val="28"/>
        </w:rPr>
        <w:t xml:space="preserve">, общая стоимость строительства </w:t>
      </w:r>
      <w:r w:rsidR="00757C92">
        <w:rPr>
          <w:rFonts w:ascii="Times New Roman" w:hAnsi="Times New Roman" w:cs="Times New Roman"/>
          <w:sz w:val="28"/>
          <w:szCs w:val="28"/>
        </w:rPr>
        <w:t xml:space="preserve">административного здания </w:t>
      </w:r>
      <w:r w:rsidR="00757C92" w:rsidRPr="00E10DE2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B46F20" w:rsidRPr="00E10DE2">
        <w:rPr>
          <w:rFonts w:ascii="Times New Roman" w:hAnsi="Times New Roman" w:cs="Times New Roman"/>
          <w:sz w:val="28"/>
          <w:szCs w:val="28"/>
        </w:rPr>
        <w:t>280,</w:t>
      </w:r>
      <w:r w:rsidR="00E10DE2" w:rsidRPr="00E10DE2">
        <w:rPr>
          <w:rFonts w:ascii="Times New Roman" w:hAnsi="Times New Roman" w:cs="Times New Roman"/>
          <w:sz w:val="28"/>
          <w:szCs w:val="28"/>
        </w:rPr>
        <w:t>21</w:t>
      </w:r>
      <w:r w:rsidR="00757C92" w:rsidRPr="00E10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C92" w:rsidRPr="00E10DE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757C92" w:rsidRPr="00E10DE2">
        <w:rPr>
          <w:rFonts w:ascii="Times New Roman" w:hAnsi="Times New Roman" w:cs="Times New Roman"/>
          <w:sz w:val="28"/>
          <w:szCs w:val="28"/>
        </w:rPr>
        <w:t>.</w:t>
      </w:r>
      <w:r w:rsidR="00B46F20" w:rsidRPr="00E10D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6F20" w:rsidRPr="00E10DE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46F20" w:rsidRPr="00E10DE2">
        <w:rPr>
          <w:rFonts w:ascii="Times New Roman" w:hAnsi="Times New Roman" w:cs="Times New Roman"/>
          <w:sz w:val="28"/>
          <w:szCs w:val="28"/>
        </w:rPr>
        <w:t>.</w:t>
      </w:r>
      <w:r w:rsidR="00E10DE2" w:rsidRPr="00E10DE2">
        <w:rPr>
          <w:rFonts w:ascii="Times New Roman" w:hAnsi="Times New Roman" w:cs="Times New Roman"/>
          <w:sz w:val="28"/>
          <w:szCs w:val="28"/>
        </w:rPr>
        <w:t xml:space="preserve"> </w:t>
      </w:r>
      <w:r w:rsidR="00E10DE2">
        <w:rPr>
          <w:rFonts w:ascii="Times New Roman" w:hAnsi="Times New Roman" w:cs="Times New Roman"/>
          <w:sz w:val="28"/>
          <w:szCs w:val="28"/>
        </w:rPr>
        <w:t>без НДС.</w:t>
      </w:r>
      <w:r w:rsidR="005B3D5C">
        <w:rPr>
          <w:rFonts w:ascii="Times New Roman" w:hAnsi="Times New Roman" w:cs="Times New Roman"/>
          <w:sz w:val="28"/>
          <w:szCs w:val="28"/>
        </w:rPr>
        <w:t xml:space="preserve"> </w:t>
      </w:r>
      <w:r w:rsidR="005B3D5C" w:rsidRPr="00AB793E">
        <w:rPr>
          <w:rFonts w:ascii="Times New Roman" w:hAnsi="Times New Roman" w:cs="Times New Roman"/>
          <w:sz w:val="28"/>
          <w:szCs w:val="28"/>
        </w:rPr>
        <w:t xml:space="preserve">В ходе строительства административного здания тарифные источники, предусмотренные утвержденным инвестиционным паспортом, </w:t>
      </w:r>
      <w:r w:rsidR="00A02BCA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B3D5C" w:rsidRPr="00AB793E">
        <w:rPr>
          <w:rFonts w:ascii="Times New Roman" w:hAnsi="Times New Roman" w:cs="Times New Roman"/>
          <w:sz w:val="28"/>
          <w:szCs w:val="28"/>
        </w:rPr>
        <w:t>в полном объеме.</w:t>
      </w:r>
      <w:r w:rsidR="005B3D5C">
        <w:rPr>
          <w:rFonts w:ascii="Times New Roman" w:hAnsi="Times New Roman" w:cs="Times New Roman"/>
          <w:sz w:val="28"/>
          <w:szCs w:val="28"/>
        </w:rPr>
        <w:t xml:space="preserve"> Оставшийся объем выполнения строительно-монтажных работ предусмотрен за счет собственных средств Общества.</w:t>
      </w:r>
      <w:r w:rsidR="00B46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A73" w:rsidRPr="00CC6681" w:rsidRDefault="00C07A73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AB793E">
        <w:rPr>
          <w:rFonts w:ascii="Times New Roman" w:eastAsia="Calibri" w:hAnsi="Times New Roman" w:cs="Times New Roman"/>
          <w:sz w:val="28"/>
          <w:szCs w:val="28"/>
        </w:rPr>
        <w:lastRenderedPageBreak/>
        <w:t>В рамках рассмотрения корректировки утвержденной инвестиционной программы (</w:t>
      </w:r>
      <w:r w:rsidRPr="00AB79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ТЭК и ЖКХ КК</w:t>
      </w:r>
      <w:r w:rsidRPr="00AB79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от 14.12.2020 № 711 «Об утверждении инвестиционной программы АО «НЭСК» на 2021-2023 годы</w:t>
      </w: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 инвестиционной программой АО «НЭСК») предлагается срок реализации по вышеуказанному инвестиционному проекту, перенести на 4 квартал 2021 года</w:t>
      </w:r>
      <w:r w:rsidR="00F00130">
        <w:rPr>
          <w:rFonts w:ascii="Times New Roman" w:eastAsia="Calibri" w:hAnsi="Times New Roman" w:cs="Times New Roman"/>
          <w:sz w:val="28"/>
          <w:szCs w:val="28"/>
        </w:rPr>
        <w:t xml:space="preserve"> без увеличения размера</w:t>
      </w:r>
      <w:r w:rsidRPr="00AB793E">
        <w:rPr>
          <w:rFonts w:ascii="Times New Roman" w:eastAsia="Calibri" w:hAnsi="Times New Roman" w:cs="Times New Roman"/>
          <w:sz w:val="28"/>
          <w:szCs w:val="28"/>
        </w:rPr>
        <w:t xml:space="preserve"> тарифных источников.</w:t>
      </w:r>
    </w:p>
    <w:p w:rsidR="00C07A73" w:rsidRDefault="00C07A73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00130" w:rsidRPr="00211501" w:rsidRDefault="00690E42" w:rsidP="00211501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Проект корректировки </w:t>
      </w:r>
      <w:proofErr w:type="gramStart"/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инвестиционного</w:t>
      </w:r>
      <w:proofErr w:type="gramEnd"/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проект </w:t>
      </w:r>
      <w:r w:rsidR="00511E20" w:rsidRPr="002115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G_1.2. «Строительство административного здания в городе Славянск-на-Кубани, в том числе приобретение земельного участка»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E10DE2" w:rsidRPr="00E10DE2" w:rsidRDefault="00E10DE2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DE2">
        <w:rPr>
          <w:rFonts w:ascii="Times New Roman" w:eastAsia="Calibri" w:hAnsi="Times New Roman" w:cs="Times New Roman"/>
          <w:sz w:val="28"/>
          <w:szCs w:val="28"/>
        </w:rPr>
        <w:t>Данный инвестиционный проект утвержден  Приказом министерства ТЭК и ЖКХ Краснодарского края от 27.12.2017 года №</w:t>
      </w:r>
      <w:r w:rsidR="00D32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412. </w:t>
      </w:r>
    </w:p>
    <w:p w:rsidR="00E10DE2" w:rsidRDefault="00E10DE2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D5221">
        <w:rPr>
          <w:rFonts w:ascii="Times New Roman" w:eastAsia="Calibri" w:hAnsi="Times New Roman" w:cs="Times New Roman"/>
          <w:sz w:val="28"/>
          <w:szCs w:val="28"/>
        </w:rPr>
        <w:t xml:space="preserve">целях </w:t>
      </w:r>
      <w:r w:rsidRPr="00E10DE2">
        <w:rPr>
          <w:rFonts w:ascii="Times New Roman" w:eastAsia="Calibri" w:hAnsi="Times New Roman" w:cs="Times New Roman"/>
          <w:sz w:val="28"/>
          <w:szCs w:val="28"/>
        </w:rPr>
        <w:t>выполнения работ по разработке проектной документации, выполнения строительно-монтажных работ по строительству</w:t>
      </w:r>
      <w:r w:rsidR="001D5221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здания выполнен ряд дополнительных мероприятий</w:t>
      </w:r>
      <w:r w:rsidR="000C7F78">
        <w:rPr>
          <w:rFonts w:ascii="Times New Roman" w:hAnsi="Times New Roman" w:cs="Times New Roman"/>
          <w:sz w:val="28"/>
          <w:szCs w:val="28"/>
        </w:rPr>
        <w:t>, которые невозможно было предусмотреть при подготовке паспорта инвестиционного проекта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D5221" w:rsidRPr="001D5221" w:rsidRDefault="001D5221" w:rsidP="00211501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Pr="001D5221">
        <w:rPr>
          <w:rFonts w:ascii="Times New Roman" w:eastAsia="Calibri" w:hAnsi="Times New Roman" w:cs="Times New Roman"/>
          <w:sz w:val="28"/>
          <w:szCs w:val="28"/>
        </w:rPr>
        <w:t>приобретен</w:t>
      </w:r>
      <w:r>
        <w:rPr>
          <w:rFonts w:ascii="Times New Roman" w:eastAsia="Calibri" w:hAnsi="Times New Roman" w:cs="Times New Roman"/>
          <w:sz w:val="28"/>
          <w:szCs w:val="28"/>
        </w:rPr>
        <w:t>ием земельного участка</w:t>
      </w:r>
      <w:r w:rsidRPr="001D5221">
        <w:rPr>
          <w:rFonts w:ascii="Times New Roman" w:eastAsia="Calibri" w:hAnsi="Times New Roman" w:cs="Times New Roman"/>
          <w:sz w:val="28"/>
          <w:szCs w:val="28"/>
        </w:rPr>
        <w:t xml:space="preserve"> для строительства административного здания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1D5221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1D5221">
        <w:rPr>
          <w:rFonts w:ascii="Times New Roman" w:eastAsia="Calibri" w:hAnsi="Times New Roman" w:cs="Times New Roman"/>
          <w:sz w:val="28"/>
          <w:szCs w:val="28"/>
        </w:rPr>
        <w:t xml:space="preserve"> разрешенного использования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для строительства ИЖС, возникла необходимость</w:t>
      </w:r>
      <w:r w:rsidR="00690E42">
        <w:rPr>
          <w:rFonts w:ascii="Times New Roman" w:eastAsia="Calibri" w:hAnsi="Times New Roman" w:cs="Times New Roman"/>
          <w:sz w:val="28"/>
          <w:szCs w:val="28"/>
        </w:rPr>
        <w:t xml:space="preserve"> внесения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690E4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1D5221">
        <w:rPr>
          <w:rFonts w:ascii="Times New Roman" w:eastAsia="Calibri" w:hAnsi="Times New Roman" w:cs="Times New Roman"/>
          <w:sz w:val="28"/>
          <w:szCs w:val="28"/>
        </w:rPr>
        <w:t xml:space="preserve"> вид разрешенного использования земельного участка на деловое управление</w:t>
      </w:r>
      <w:r w:rsidR="007504AB">
        <w:rPr>
          <w:rFonts w:ascii="Times New Roman" w:eastAsia="Calibri" w:hAnsi="Times New Roman" w:cs="Times New Roman"/>
          <w:sz w:val="28"/>
          <w:szCs w:val="28"/>
        </w:rPr>
        <w:t xml:space="preserve">, что повлекло за собой увеличение срока получения </w:t>
      </w:r>
      <w:r w:rsidR="000C7F78">
        <w:rPr>
          <w:rFonts w:ascii="Times New Roman" w:eastAsia="Calibri" w:hAnsi="Times New Roman" w:cs="Times New Roman"/>
          <w:sz w:val="28"/>
          <w:szCs w:val="28"/>
        </w:rPr>
        <w:t>разрешительных</w:t>
      </w:r>
      <w:r w:rsidR="007504AB">
        <w:rPr>
          <w:rFonts w:ascii="Times New Roman" w:eastAsia="Calibri" w:hAnsi="Times New Roman" w:cs="Times New Roman"/>
          <w:sz w:val="28"/>
          <w:szCs w:val="28"/>
        </w:rPr>
        <w:t xml:space="preserve"> документов.</w:t>
      </w:r>
    </w:p>
    <w:p w:rsidR="007504AB" w:rsidRPr="007504AB" w:rsidRDefault="001D5221" w:rsidP="00211501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получения разрешения</w:t>
      </w:r>
      <w:r w:rsidRPr="001D5221">
        <w:rPr>
          <w:rFonts w:ascii="Times New Roman" w:eastAsia="Calibri" w:hAnsi="Times New Roman" w:cs="Times New Roman"/>
          <w:sz w:val="28"/>
          <w:szCs w:val="28"/>
        </w:rPr>
        <w:t xml:space="preserve"> на строительство административного здания,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5221">
        <w:rPr>
          <w:rFonts w:ascii="Times New Roman" w:eastAsia="Calibri" w:hAnsi="Times New Roman" w:cs="Times New Roman"/>
          <w:sz w:val="28"/>
          <w:szCs w:val="28"/>
        </w:rPr>
        <w:t>неоднократно проводились публичные слушания, по результатам которых получено постановление администрации муниципального образования Славянский район о предоставлении разрешения на отклонения от предельных параметров разрешенного строительства капитального объекта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504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90E42" w:rsidRDefault="007504AB" w:rsidP="00211501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E42">
        <w:rPr>
          <w:rFonts w:ascii="Times New Roman" w:eastAsia="Calibri" w:hAnsi="Times New Roman" w:cs="Times New Roman"/>
          <w:sz w:val="28"/>
          <w:szCs w:val="28"/>
        </w:rPr>
        <w:t xml:space="preserve">Введение ограничительных мер из-за распространения новой </w:t>
      </w:r>
      <w:proofErr w:type="spellStart"/>
      <w:r w:rsidRPr="00690E42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690E42">
        <w:rPr>
          <w:rFonts w:ascii="Times New Roman" w:eastAsia="Calibri" w:hAnsi="Times New Roman" w:cs="Times New Roman"/>
          <w:sz w:val="28"/>
          <w:szCs w:val="28"/>
        </w:rPr>
        <w:t xml:space="preserve"> инфекции (COVID-19) на территории Краснодарского края, повлекло за собой </w:t>
      </w:r>
      <w:r w:rsidR="003958B7" w:rsidRPr="00690E42">
        <w:rPr>
          <w:rFonts w:ascii="Times New Roman" w:eastAsia="Calibri" w:hAnsi="Times New Roman" w:cs="Times New Roman"/>
          <w:sz w:val="28"/>
          <w:szCs w:val="28"/>
        </w:rPr>
        <w:t xml:space="preserve">более длительное согласование мероприятий по получению разрешения на строительство и как следствие заключение договора подряда на </w:t>
      </w:r>
      <w:r w:rsidR="00690E42" w:rsidRPr="00690E42">
        <w:rPr>
          <w:rFonts w:ascii="Times New Roman" w:eastAsia="Calibri" w:hAnsi="Times New Roman" w:cs="Times New Roman"/>
          <w:sz w:val="28"/>
          <w:szCs w:val="28"/>
        </w:rPr>
        <w:t xml:space="preserve">выполнение </w:t>
      </w:r>
      <w:r w:rsidR="003958B7" w:rsidRPr="00690E42">
        <w:rPr>
          <w:rFonts w:ascii="Times New Roman" w:eastAsia="Calibri" w:hAnsi="Times New Roman" w:cs="Times New Roman"/>
          <w:sz w:val="28"/>
          <w:szCs w:val="28"/>
        </w:rPr>
        <w:t>строительно-монтажные работы</w:t>
      </w:r>
      <w:r w:rsidR="00690E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58B7" w:rsidRPr="00690E42" w:rsidRDefault="003958B7" w:rsidP="00690E42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E42">
        <w:rPr>
          <w:rFonts w:ascii="Times New Roman" w:eastAsia="Calibri" w:hAnsi="Times New Roman" w:cs="Times New Roman"/>
          <w:sz w:val="28"/>
          <w:szCs w:val="28"/>
        </w:rPr>
        <w:t xml:space="preserve">Ввиду указанных </w:t>
      </w:r>
      <w:r w:rsidR="006A57C1" w:rsidRPr="00690E42">
        <w:rPr>
          <w:rFonts w:ascii="Times New Roman" w:eastAsia="Calibri" w:hAnsi="Times New Roman" w:cs="Times New Roman"/>
          <w:sz w:val="28"/>
          <w:szCs w:val="28"/>
        </w:rPr>
        <w:t>мероприятий</w:t>
      </w:r>
      <w:r w:rsidRPr="00690E42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690E42">
        <w:rPr>
          <w:rFonts w:ascii="Times New Roman" w:hAnsi="Times New Roman" w:cs="Times New Roman"/>
          <w:sz w:val="28"/>
          <w:szCs w:val="28"/>
        </w:rPr>
        <w:t>сложной эпидемиологической обстановки в Краснодарском крае</w:t>
      </w:r>
      <w:r w:rsidRPr="00690E42">
        <w:rPr>
          <w:rFonts w:ascii="Times New Roman" w:eastAsia="Calibri" w:hAnsi="Times New Roman" w:cs="Times New Roman"/>
          <w:sz w:val="28"/>
          <w:szCs w:val="28"/>
        </w:rPr>
        <w:t xml:space="preserve">, произошло отставание от графика производства работ. </w:t>
      </w:r>
    </w:p>
    <w:p w:rsidR="00F00130" w:rsidRDefault="00E10DE2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АО «НЭСК» ввиду сложившихся, не предусмотренных </w:t>
      </w:r>
      <w:r w:rsidR="003958B7">
        <w:rPr>
          <w:rFonts w:ascii="Times New Roman" w:eastAsia="Calibri" w:hAnsi="Times New Roman" w:cs="Times New Roman"/>
          <w:sz w:val="28"/>
          <w:szCs w:val="28"/>
        </w:rPr>
        <w:t xml:space="preserve">дополнительных </w:t>
      </w:r>
      <w:r w:rsidR="00211501">
        <w:rPr>
          <w:rFonts w:ascii="Times New Roman" w:eastAsia="Calibri" w:hAnsi="Times New Roman" w:cs="Times New Roman"/>
          <w:sz w:val="28"/>
          <w:szCs w:val="28"/>
        </w:rPr>
        <w:t xml:space="preserve">мероприятий </w:t>
      </w:r>
      <w:r w:rsidRPr="00E10DE2">
        <w:rPr>
          <w:rFonts w:ascii="Times New Roman" w:eastAsia="Calibri" w:hAnsi="Times New Roman" w:cs="Times New Roman"/>
          <w:sz w:val="28"/>
          <w:szCs w:val="28"/>
        </w:rPr>
        <w:t>вынуждено перенести сроки ввода в эксплуатацию построенно</w:t>
      </w:r>
      <w:r w:rsidR="003958B7">
        <w:rPr>
          <w:rFonts w:ascii="Times New Roman" w:eastAsia="Calibri" w:hAnsi="Times New Roman" w:cs="Times New Roman"/>
          <w:sz w:val="28"/>
          <w:szCs w:val="28"/>
        </w:rPr>
        <w:t>го административного здания на 3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 квартал текущего года</w:t>
      </w:r>
      <w:r w:rsidR="00A02BCA">
        <w:rPr>
          <w:rFonts w:ascii="Times New Roman" w:eastAsia="Calibri" w:hAnsi="Times New Roman" w:cs="Times New Roman"/>
          <w:sz w:val="28"/>
          <w:szCs w:val="28"/>
        </w:rPr>
        <w:t>,</w:t>
      </w:r>
      <w:r w:rsidR="00A02BCA" w:rsidRPr="00A02BCA">
        <w:t xml:space="preserve"> </w:t>
      </w:r>
      <w:r w:rsidR="00A02BCA" w:rsidRPr="00A02BCA">
        <w:rPr>
          <w:rFonts w:ascii="Times New Roman" w:eastAsia="Calibri" w:hAnsi="Times New Roman" w:cs="Times New Roman"/>
          <w:sz w:val="28"/>
          <w:szCs w:val="28"/>
        </w:rPr>
        <w:t>без увеличения размера тарифных источников</w:t>
      </w:r>
      <w:r w:rsidRPr="00E10D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0130" w:rsidRDefault="00F00130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E20" w:rsidRPr="006A57C1" w:rsidRDefault="00690E42" w:rsidP="00211501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Проект корректировки </w:t>
      </w:r>
      <w:proofErr w:type="gramStart"/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>инвестиционного</w:t>
      </w:r>
      <w:proofErr w:type="gramEnd"/>
      <w:r w:rsidRPr="00AB79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проект </w:t>
      </w:r>
      <w:r w:rsidR="00511E20" w:rsidRPr="006A57C1">
        <w:rPr>
          <w:rFonts w:ascii="Times New Roman" w:eastAsia="Calibri" w:hAnsi="Times New Roman" w:cs="Times New Roman"/>
          <w:b/>
          <w:i/>
          <w:sz w:val="28"/>
          <w:szCs w:val="28"/>
        </w:rPr>
        <w:t>Н_1.10. «Строительство административного здания для филиала «</w:t>
      </w:r>
      <w:proofErr w:type="spellStart"/>
      <w:r w:rsidR="00511E20" w:rsidRPr="006A57C1">
        <w:rPr>
          <w:rFonts w:ascii="Times New Roman" w:eastAsia="Calibri" w:hAnsi="Times New Roman" w:cs="Times New Roman"/>
          <w:b/>
          <w:i/>
          <w:sz w:val="28"/>
          <w:szCs w:val="28"/>
        </w:rPr>
        <w:t>Крымскэнергосбыт</w:t>
      </w:r>
      <w:proofErr w:type="spellEnd"/>
      <w:r w:rsidR="00511E20" w:rsidRPr="006A57C1">
        <w:rPr>
          <w:rFonts w:ascii="Times New Roman" w:eastAsia="Calibri" w:hAnsi="Times New Roman" w:cs="Times New Roman"/>
          <w:b/>
          <w:i/>
          <w:sz w:val="28"/>
          <w:szCs w:val="28"/>
        </w:rPr>
        <w:t>»»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C25EA4" w:rsidRPr="00E10DE2" w:rsidRDefault="00C25EA4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DE2">
        <w:rPr>
          <w:rFonts w:ascii="Times New Roman" w:eastAsia="Calibri" w:hAnsi="Times New Roman" w:cs="Times New Roman"/>
          <w:sz w:val="28"/>
          <w:szCs w:val="28"/>
        </w:rPr>
        <w:t>Данный инвестиционный проект утвержден  Приказом министерства ТЭК и ЖКХ Краснодарского края от 27.12.2017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412. </w:t>
      </w:r>
    </w:p>
    <w:p w:rsidR="00C25EA4" w:rsidRDefault="00C25EA4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целях </w:t>
      </w:r>
      <w:r w:rsidRPr="00E10DE2">
        <w:rPr>
          <w:rFonts w:ascii="Times New Roman" w:eastAsia="Calibri" w:hAnsi="Times New Roman" w:cs="Times New Roman"/>
          <w:sz w:val="28"/>
          <w:szCs w:val="28"/>
        </w:rPr>
        <w:t>выполнения работ по разработке проектной документации, выполнения строительно-монтажных работ по строительству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здания выполнен ряд дополнительных мероприятий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C25EA4" w:rsidRPr="00C25EA4" w:rsidRDefault="00C25EA4" w:rsidP="00211501">
      <w:pPr>
        <w:pStyle w:val="a3"/>
        <w:numPr>
          <w:ilvl w:val="0"/>
          <w:numId w:val="25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5EA4">
        <w:rPr>
          <w:rFonts w:ascii="Times New Roman" w:eastAsia="Calibri" w:hAnsi="Times New Roman" w:cs="Times New Roman"/>
          <w:sz w:val="28"/>
          <w:szCs w:val="28"/>
        </w:rPr>
        <w:t xml:space="preserve">В связи с приобретением земельного участка для строительства административного здания с видом разрешенного использования земельного участка - для строительства ИЖС, возникла необходимость изменения вида разрешенного использования земельного участка на деловое управление, что повлекло за собой увеличение срока получения </w:t>
      </w:r>
      <w:r w:rsidR="000C7F78">
        <w:rPr>
          <w:rFonts w:ascii="Times New Roman" w:eastAsia="Calibri" w:hAnsi="Times New Roman" w:cs="Times New Roman"/>
          <w:sz w:val="28"/>
          <w:szCs w:val="28"/>
        </w:rPr>
        <w:t>разрешительных</w:t>
      </w:r>
      <w:r w:rsidRPr="00C25EA4">
        <w:rPr>
          <w:rFonts w:ascii="Times New Roman" w:eastAsia="Calibri" w:hAnsi="Times New Roman" w:cs="Times New Roman"/>
          <w:sz w:val="28"/>
          <w:szCs w:val="28"/>
        </w:rPr>
        <w:t xml:space="preserve"> документов.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511E20" w:rsidRPr="00C25EA4">
        <w:rPr>
          <w:rFonts w:ascii="Times New Roman" w:eastAsia="Calibri" w:hAnsi="Times New Roman" w:cs="Times New Roman"/>
          <w:sz w:val="28"/>
          <w:szCs w:val="28"/>
        </w:rPr>
        <w:t>роведены публичные слушания, по результатам которых получено постановление администрации Крымского городского поселения о предоставлении разрешения на отклонения от предельных параметров разрешенного строительства капитального объекта.</w:t>
      </w:r>
    </w:p>
    <w:p w:rsidR="006A57C1" w:rsidRPr="006A57C1" w:rsidRDefault="00C25EA4" w:rsidP="00211501">
      <w:pPr>
        <w:pStyle w:val="a3"/>
        <w:numPr>
          <w:ilvl w:val="0"/>
          <w:numId w:val="25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Pr="00C25EA4">
        <w:rPr>
          <w:rFonts w:ascii="Times New Roman" w:eastAsia="Calibri" w:hAnsi="Times New Roman" w:cs="Times New Roman"/>
          <w:sz w:val="28"/>
          <w:szCs w:val="28"/>
        </w:rPr>
        <w:t>разрешения на строите</w:t>
      </w:r>
      <w:r w:rsidR="006A57C1">
        <w:rPr>
          <w:rFonts w:ascii="Times New Roman" w:eastAsia="Calibri" w:hAnsi="Times New Roman" w:cs="Times New Roman"/>
          <w:sz w:val="28"/>
          <w:szCs w:val="28"/>
        </w:rPr>
        <w:t xml:space="preserve">льство административного здания было подано </w:t>
      </w:r>
      <w:r w:rsidR="00511E20" w:rsidRPr="00C25EA4">
        <w:rPr>
          <w:rFonts w:ascii="Times New Roman" w:eastAsia="Calibri" w:hAnsi="Times New Roman" w:cs="Times New Roman"/>
          <w:sz w:val="28"/>
          <w:szCs w:val="28"/>
        </w:rPr>
        <w:t>заявление в администрацию</w:t>
      </w:r>
      <w:r w:rsidR="006A57C1">
        <w:rPr>
          <w:rFonts w:ascii="Times New Roman" w:eastAsia="Calibri" w:hAnsi="Times New Roman" w:cs="Times New Roman"/>
          <w:sz w:val="28"/>
          <w:szCs w:val="28"/>
        </w:rPr>
        <w:t xml:space="preserve"> Крымского городского поселения, в ходе которого был получен отказ в выдаче разрешения на строительство,</w:t>
      </w:r>
      <w:r w:rsidR="006A57C1" w:rsidRPr="006A57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7C1">
        <w:rPr>
          <w:rFonts w:ascii="Times New Roman" w:eastAsia="Calibri" w:hAnsi="Times New Roman" w:cs="Times New Roman"/>
          <w:sz w:val="28"/>
          <w:szCs w:val="28"/>
        </w:rPr>
        <w:t>мотивированный</w:t>
      </w:r>
      <w:r w:rsidR="006A57C1" w:rsidRPr="006A57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7C1" w:rsidRPr="003B4BCB">
        <w:rPr>
          <w:rFonts w:ascii="Times New Roman" w:eastAsia="Calibri" w:hAnsi="Times New Roman" w:cs="Times New Roman"/>
          <w:sz w:val="28"/>
          <w:szCs w:val="28"/>
        </w:rPr>
        <w:t>отсутствием территории для размещения парковочных мест.</w:t>
      </w:r>
    </w:p>
    <w:p w:rsidR="00511E20" w:rsidRPr="006A57C1" w:rsidRDefault="006A57C1" w:rsidP="00211501">
      <w:pPr>
        <w:pStyle w:val="a3"/>
        <w:numPr>
          <w:ilvl w:val="0"/>
          <w:numId w:val="25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A57C1">
        <w:rPr>
          <w:rFonts w:ascii="Times New Roman" w:eastAsia="Calibri" w:hAnsi="Times New Roman" w:cs="Times New Roman"/>
          <w:sz w:val="28"/>
          <w:szCs w:val="28"/>
        </w:rPr>
        <w:t xml:space="preserve"> цел</w:t>
      </w:r>
      <w:r>
        <w:rPr>
          <w:rFonts w:ascii="Times New Roman" w:eastAsia="Calibri" w:hAnsi="Times New Roman" w:cs="Times New Roman"/>
          <w:sz w:val="28"/>
          <w:szCs w:val="28"/>
        </w:rPr>
        <w:t>ью организации парковочных мест подано заявление</w:t>
      </w:r>
      <w:r w:rsidRPr="006A57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C25EA4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Крымского городского поселения для заключения</w:t>
      </w:r>
      <w:r w:rsidR="00511E20" w:rsidRPr="006A57C1">
        <w:rPr>
          <w:rFonts w:ascii="Times New Roman" w:eastAsia="Calibri" w:hAnsi="Times New Roman" w:cs="Times New Roman"/>
          <w:sz w:val="28"/>
          <w:szCs w:val="28"/>
        </w:rPr>
        <w:t xml:space="preserve"> соглашения о сервитуте прилегающей территории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511E20" w:rsidRPr="006A57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1E20" w:rsidRPr="003B4BCB" w:rsidRDefault="00511E20" w:rsidP="00211501">
      <w:pPr>
        <w:pStyle w:val="a3"/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4BCB">
        <w:rPr>
          <w:rFonts w:ascii="Times New Roman" w:eastAsia="Calibri" w:hAnsi="Times New Roman" w:cs="Times New Roman"/>
          <w:sz w:val="28"/>
          <w:szCs w:val="28"/>
        </w:rPr>
        <w:t xml:space="preserve">Ввиду введения ограничительных мер из-за распространения новой </w:t>
      </w:r>
      <w:proofErr w:type="spellStart"/>
      <w:r w:rsidRPr="003B4BCB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3B4BCB">
        <w:rPr>
          <w:rFonts w:ascii="Times New Roman" w:eastAsia="Calibri" w:hAnsi="Times New Roman" w:cs="Times New Roman"/>
          <w:sz w:val="28"/>
          <w:szCs w:val="28"/>
        </w:rPr>
        <w:t xml:space="preserve"> инфекции (COVID-19) повлекло за собой приостановление деятельности ряда организаций. Деятельность всех органов администрации муниципальных образований были направлены борьбу с COVID-19, в результате чего были затянуты сроки по изменению вида разрешенного использования земельного участка и предоставлении разрешения на отклонения от предельных параметров разрешенного строительства капитального объекта.</w:t>
      </w:r>
    </w:p>
    <w:p w:rsidR="006A57C1" w:rsidRDefault="006A57C1" w:rsidP="00211501">
      <w:pPr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выполнением вышеперечисленных мероприятий</w:t>
      </w:r>
      <w:r w:rsidRPr="007504A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7504AB">
        <w:rPr>
          <w:rFonts w:ascii="Times New Roman" w:hAnsi="Times New Roman" w:cs="Times New Roman"/>
          <w:sz w:val="28"/>
          <w:szCs w:val="28"/>
        </w:rPr>
        <w:t>сложной эпидемиологической обстановк</w:t>
      </w:r>
      <w:r w:rsidR="000C7F78">
        <w:rPr>
          <w:rFonts w:ascii="Times New Roman" w:hAnsi="Times New Roman" w:cs="Times New Roman"/>
          <w:sz w:val="28"/>
          <w:szCs w:val="28"/>
        </w:rPr>
        <w:t>ой</w:t>
      </w:r>
      <w:r w:rsidRPr="007504AB">
        <w:rPr>
          <w:rFonts w:ascii="Times New Roman" w:hAnsi="Times New Roman" w:cs="Times New Roman"/>
          <w:sz w:val="28"/>
          <w:szCs w:val="28"/>
        </w:rPr>
        <w:t xml:space="preserve"> в Краснодарском крае</w:t>
      </w:r>
      <w:r w:rsidRPr="007504AB">
        <w:rPr>
          <w:rFonts w:ascii="Times New Roman" w:eastAsia="Calibri" w:hAnsi="Times New Roman" w:cs="Times New Roman"/>
          <w:sz w:val="28"/>
          <w:szCs w:val="28"/>
        </w:rPr>
        <w:t>, произошло отставание от график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производства работ по строительству административного здания, в результате чего </w:t>
      </w:r>
      <w:r w:rsidRPr="00E10DE2">
        <w:rPr>
          <w:rFonts w:ascii="Times New Roman" w:eastAsia="Calibri" w:hAnsi="Times New Roman" w:cs="Times New Roman"/>
          <w:sz w:val="28"/>
          <w:szCs w:val="28"/>
        </w:rPr>
        <w:t>АО «НЭСК»</w:t>
      </w:r>
      <w:r w:rsidRPr="006A57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0DE2">
        <w:rPr>
          <w:rFonts w:ascii="Times New Roman" w:eastAsia="Calibri" w:hAnsi="Times New Roman" w:cs="Times New Roman"/>
          <w:sz w:val="28"/>
          <w:szCs w:val="28"/>
        </w:rPr>
        <w:t xml:space="preserve">вынуждено перенести сроки ввода в эксплуатацию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здания на </w:t>
      </w:r>
      <w:r w:rsidR="000C7F78">
        <w:rPr>
          <w:rFonts w:ascii="Times New Roman" w:eastAsia="Calibri" w:hAnsi="Times New Roman" w:cs="Times New Roman"/>
          <w:sz w:val="28"/>
          <w:szCs w:val="28"/>
        </w:rPr>
        <w:t>4 </w:t>
      </w:r>
      <w:r w:rsidRPr="00E10DE2">
        <w:rPr>
          <w:rFonts w:ascii="Times New Roman" w:eastAsia="Calibri" w:hAnsi="Times New Roman" w:cs="Times New Roman"/>
          <w:sz w:val="28"/>
          <w:szCs w:val="28"/>
        </w:rPr>
        <w:t>квартал текущего года</w:t>
      </w:r>
      <w:r w:rsidR="00A02BCA">
        <w:rPr>
          <w:rFonts w:ascii="Times New Roman" w:eastAsia="Calibri" w:hAnsi="Times New Roman" w:cs="Times New Roman"/>
          <w:sz w:val="28"/>
          <w:szCs w:val="28"/>
        </w:rPr>
        <w:t>, без увеличения размера</w:t>
      </w:r>
      <w:r w:rsidR="00A02BCA" w:rsidRPr="00AB793E">
        <w:rPr>
          <w:rFonts w:ascii="Times New Roman" w:eastAsia="Calibri" w:hAnsi="Times New Roman" w:cs="Times New Roman"/>
          <w:sz w:val="28"/>
          <w:szCs w:val="28"/>
        </w:rPr>
        <w:t xml:space="preserve"> тарифных источников</w:t>
      </w:r>
      <w:r w:rsidRPr="00E10D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Генеральный директор                                                                   Е.В. Росинский</w:t>
      </w: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888">
        <w:rPr>
          <w:rFonts w:ascii="Times New Roman" w:eastAsia="Calibri" w:hAnsi="Times New Roman" w:cs="Times New Roman"/>
          <w:sz w:val="24"/>
          <w:szCs w:val="24"/>
        </w:rPr>
        <w:t xml:space="preserve">Начальник управления </w:t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888">
        <w:rPr>
          <w:rFonts w:ascii="Times New Roman" w:eastAsia="Calibri" w:hAnsi="Times New Roman" w:cs="Times New Roman"/>
          <w:sz w:val="24"/>
          <w:szCs w:val="24"/>
        </w:rPr>
        <w:t>по производственно-технической деятельности</w:t>
      </w:r>
      <w:r w:rsidR="008066FF" w:rsidRPr="000D2888">
        <w:rPr>
          <w:rFonts w:ascii="Times New Roman" w:eastAsia="Calibri" w:hAnsi="Times New Roman" w:cs="Times New Roman"/>
          <w:sz w:val="24"/>
          <w:szCs w:val="24"/>
        </w:rPr>
        <w:tab/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 И.В. Беспалько</w:t>
      </w: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Начальник управления </w:t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работе на оптовом рынке</w:t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 И.А. Дурлештер</w:t>
      </w:r>
    </w:p>
    <w:p w:rsidR="000D2888" w:rsidRDefault="000D2888" w:rsidP="000D2888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ачальника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управления </w:t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работе на розничном рынке</w:t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 Ю.П. Пулина</w:t>
      </w:r>
      <w:r w:rsidR="008066FF" w:rsidRPr="000D2888">
        <w:rPr>
          <w:rFonts w:ascii="Times New Roman" w:eastAsia="Calibri" w:hAnsi="Times New Roman" w:cs="Times New Roman"/>
          <w:sz w:val="24"/>
          <w:szCs w:val="24"/>
        </w:rPr>
        <w:tab/>
      </w: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6FF" w:rsidRPr="000D2888" w:rsidRDefault="000D2888" w:rsidP="000D288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>Исп. Пашковская Н.В.</w:t>
      </w:r>
      <w:bookmarkStart w:id="0" w:name="_GoBack"/>
      <w:bookmarkEnd w:id="0"/>
      <w:r w:rsidR="008066FF" w:rsidRPr="000D2888">
        <w:rPr>
          <w:rFonts w:ascii="Times New Roman" w:eastAsia="Calibri" w:hAnsi="Times New Roman" w:cs="Times New Roman"/>
          <w:sz w:val="24"/>
          <w:szCs w:val="24"/>
        </w:rPr>
        <w:tab/>
      </w:r>
      <w:r w:rsidR="008066FF" w:rsidRPr="000D2888">
        <w:rPr>
          <w:rFonts w:ascii="Times New Roman" w:eastAsia="Calibri" w:hAnsi="Times New Roman" w:cs="Times New Roman"/>
          <w:sz w:val="24"/>
          <w:szCs w:val="24"/>
        </w:rPr>
        <w:tab/>
      </w:r>
      <w:r w:rsidR="008066FF" w:rsidRPr="000D2888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8066FF" w:rsidRPr="000D2888" w:rsidSect="00823A8C">
      <w:footerReference w:type="default" r:id="rId11"/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92" w:rsidRDefault="007D0992" w:rsidP="00D005FE">
      <w:pPr>
        <w:spacing w:after="0" w:line="240" w:lineRule="auto"/>
      </w:pPr>
      <w:r>
        <w:separator/>
      </w:r>
    </w:p>
  </w:endnote>
  <w:endnote w:type="continuationSeparator" w:id="0">
    <w:p w:rsidR="007D0992" w:rsidRDefault="007D0992" w:rsidP="00D0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471087"/>
      <w:docPartObj>
        <w:docPartGallery w:val="Page Numbers (Bottom of Page)"/>
        <w:docPartUnique/>
      </w:docPartObj>
    </w:sdtPr>
    <w:sdtEndPr/>
    <w:sdtContent>
      <w:p w:rsidR="00816DE1" w:rsidRDefault="00816D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888">
          <w:rPr>
            <w:noProof/>
          </w:rPr>
          <w:t>16</w:t>
        </w:r>
        <w:r>
          <w:fldChar w:fldCharType="end"/>
        </w:r>
      </w:p>
    </w:sdtContent>
  </w:sdt>
  <w:p w:rsidR="00816DE1" w:rsidRDefault="00816D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92" w:rsidRDefault="007D0992" w:rsidP="00D005FE">
      <w:pPr>
        <w:spacing w:after="0" w:line="240" w:lineRule="auto"/>
      </w:pPr>
      <w:r>
        <w:separator/>
      </w:r>
    </w:p>
  </w:footnote>
  <w:footnote w:type="continuationSeparator" w:id="0">
    <w:p w:rsidR="007D0992" w:rsidRDefault="007D0992" w:rsidP="00D00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889"/>
    <w:multiLevelType w:val="hybridMultilevel"/>
    <w:tmpl w:val="3B8A7D76"/>
    <w:lvl w:ilvl="0" w:tplc="B096F804">
      <w:start w:val="1"/>
      <w:numFmt w:val="decimal"/>
      <w:lvlText w:val="%1"/>
      <w:lvlJc w:val="left"/>
      <w:pPr>
        <w:ind w:left="644" w:hanging="360"/>
      </w:pPr>
      <w:rPr>
        <w:rFonts w:ascii="Times New Roman" w:eastAsiaTheme="minorHAnsi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CD5E0D"/>
    <w:multiLevelType w:val="hybridMultilevel"/>
    <w:tmpl w:val="38D8380E"/>
    <w:lvl w:ilvl="0" w:tplc="1DDA9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B714A"/>
    <w:multiLevelType w:val="hybridMultilevel"/>
    <w:tmpl w:val="71809D38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3">
    <w:nsid w:val="1E705334"/>
    <w:multiLevelType w:val="multilevel"/>
    <w:tmpl w:val="38602A76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03642EC"/>
    <w:multiLevelType w:val="hybridMultilevel"/>
    <w:tmpl w:val="F42614EE"/>
    <w:lvl w:ilvl="0" w:tplc="A81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1FE0AC8"/>
    <w:multiLevelType w:val="hybridMultilevel"/>
    <w:tmpl w:val="ECA076E8"/>
    <w:lvl w:ilvl="0" w:tplc="09F686E0">
      <w:start w:val="2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2E543C"/>
    <w:multiLevelType w:val="multilevel"/>
    <w:tmpl w:val="84B468BC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eastAsia="Calibri" w:hAnsi="Times New Roman" w:cs="Times New Roman"/>
        <w:b w:val="0"/>
        <w:i w:val="0"/>
        <w:sz w:val="28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4718C4"/>
    <w:multiLevelType w:val="hybridMultilevel"/>
    <w:tmpl w:val="66C89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B0073"/>
    <w:multiLevelType w:val="hybridMultilevel"/>
    <w:tmpl w:val="AEA205F6"/>
    <w:lvl w:ilvl="0" w:tplc="8DEE8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B2815"/>
    <w:multiLevelType w:val="hybridMultilevel"/>
    <w:tmpl w:val="BDDE7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E7A43"/>
    <w:multiLevelType w:val="hybridMultilevel"/>
    <w:tmpl w:val="691E3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036E89"/>
    <w:multiLevelType w:val="hybridMultilevel"/>
    <w:tmpl w:val="DAE8A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0510B"/>
    <w:multiLevelType w:val="hybridMultilevel"/>
    <w:tmpl w:val="96445B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DB85631"/>
    <w:multiLevelType w:val="hybridMultilevel"/>
    <w:tmpl w:val="DBFCF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7444C6"/>
    <w:multiLevelType w:val="hybridMultilevel"/>
    <w:tmpl w:val="396A082A"/>
    <w:lvl w:ilvl="0" w:tplc="0020461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51A0B4D"/>
    <w:multiLevelType w:val="hybridMultilevel"/>
    <w:tmpl w:val="8F7E5034"/>
    <w:lvl w:ilvl="0" w:tplc="9B4E8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F7830"/>
    <w:multiLevelType w:val="hybridMultilevel"/>
    <w:tmpl w:val="714260A6"/>
    <w:lvl w:ilvl="0" w:tplc="41888FAC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96E17C6"/>
    <w:multiLevelType w:val="hybridMultilevel"/>
    <w:tmpl w:val="78F495F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5EF1196D"/>
    <w:multiLevelType w:val="hybridMultilevel"/>
    <w:tmpl w:val="BF223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E7F26"/>
    <w:multiLevelType w:val="hybridMultilevel"/>
    <w:tmpl w:val="9A9AA6DC"/>
    <w:lvl w:ilvl="0" w:tplc="1884EB1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2F3302"/>
    <w:multiLevelType w:val="hybridMultilevel"/>
    <w:tmpl w:val="AD9E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2C0242"/>
    <w:multiLevelType w:val="hybridMultilevel"/>
    <w:tmpl w:val="2600585E"/>
    <w:lvl w:ilvl="0" w:tplc="3E1287A4">
      <w:start w:val="1"/>
      <w:numFmt w:val="decimal"/>
      <w:lvlText w:val="%1."/>
      <w:lvlJc w:val="left"/>
      <w:pPr>
        <w:ind w:left="1599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AE86C1A"/>
    <w:multiLevelType w:val="hybridMultilevel"/>
    <w:tmpl w:val="23AC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5"/>
  </w:num>
  <w:num w:numId="11">
    <w:abstractNumId w:val="16"/>
  </w:num>
  <w:num w:numId="12">
    <w:abstractNumId w:val="17"/>
  </w:num>
  <w:num w:numId="13">
    <w:abstractNumId w:val="22"/>
  </w:num>
  <w:num w:numId="14">
    <w:abstractNumId w:val="21"/>
  </w:num>
  <w:num w:numId="15">
    <w:abstractNumId w:val="1"/>
  </w:num>
  <w:num w:numId="16">
    <w:abstractNumId w:val="18"/>
  </w:num>
  <w:num w:numId="17">
    <w:abstractNumId w:val="15"/>
  </w:num>
  <w:num w:numId="18">
    <w:abstractNumId w:val="8"/>
  </w:num>
  <w:num w:numId="19">
    <w:abstractNumId w:val="11"/>
  </w:num>
  <w:num w:numId="20">
    <w:abstractNumId w:val="13"/>
  </w:num>
  <w:num w:numId="21">
    <w:abstractNumId w:val="9"/>
  </w:num>
  <w:num w:numId="22">
    <w:abstractNumId w:val="10"/>
  </w:num>
  <w:num w:numId="23">
    <w:abstractNumId w:val="19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2E"/>
    <w:rsid w:val="00000AFF"/>
    <w:rsid w:val="00026300"/>
    <w:rsid w:val="00056A31"/>
    <w:rsid w:val="000609B4"/>
    <w:rsid w:val="00066C0A"/>
    <w:rsid w:val="000C7F78"/>
    <w:rsid w:val="000D2888"/>
    <w:rsid w:val="000D4437"/>
    <w:rsid w:val="000D5961"/>
    <w:rsid w:val="000D732D"/>
    <w:rsid w:val="000E3F02"/>
    <w:rsid w:val="000F66B3"/>
    <w:rsid w:val="00101FD3"/>
    <w:rsid w:val="00123D44"/>
    <w:rsid w:val="00125C9F"/>
    <w:rsid w:val="001756CE"/>
    <w:rsid w:val="00190881"/>
    <w:rsid w:val="001C0393"/>
    <w:rsid w:val="001C1B58"/>
    <w:rsid w:val="001D27B0"/>
    <w:rsid w:val="001D5221"/>
    <w:rsid w:val="00211501"/>
    <w:rsid w:val="0022676B"/>
    <w:rsid w:val="00253521"/>
    <w:rsid w:val="00256B49"/>
    <w:rsid w:val="00264B1E"/>
    <w:rsid w:val="00273FA1"/>
    <w:rsid w:val="00277C1F"/>
    <w:rsid w:val="00282BE9"/>
    <w:rsid w:val="002A4867"/>
    <w:rsid w:val="002B2732"/>
    <w:rsid w:val="002B62ED"/>
    <w:rsid w:val="002B6855"/>
    <w:rsid w:val="002D0B0A"/>
    <w:rsid w:val="002E4FB8"/>
    <w:rsid w:val="002F18D2"/>
    <w:rsid w:val="003144B2"/>
    <w:rsid w:val="00382E4C"/>
    <w:rsid w:val="003958B7"/>
    <w:rsid w:val="003D011D"/>
    <w:rsid w:val="003F229A"/>
    <w:rsid w:val="0040345B"/>
    <w:rsid w:val="004208F2"/>
    <w:rsid w:val="0043637E"/>
    <w:rsid w:val="00490920"/>
    <w:rsid w:val="004B3C05"/>
    <w:rsid w:val="004C10CD"/>
    <w:rsid w:val="004F7798"/>
    <w:rsid w:val="00507961"/>
    <w:rsid w:val="00511E20"/>
    <w:rsid w:val="00517DE0"/>
    <w:rsid w:val="00530E3A"/>
    <w:rsid w:val="00566A67"/>
    <w:rsid w:val="00567D30"/>
    <w:rsid w:val="00592099"/>
    <w:rsid w:val="00596E97"/>
    <w:rsid w:val="005A15AF"/>
    <w:rsid w:val="005A6257"/>
    <w:rsid w:val="005B3D5C"/>
    <w:rsid w:val="005C5438"/>
    <w:rsid w:val="005C7DC3"/>
    <w:rsid w:val="005F31D0"/>
    <w:rsid w:val="005F77F4"/>
    <w:rsid w:val="00600A91"/>
    <w:rsid w:val="0061428D"/>
    <w:rsid w:val="00617C7C"/>
    <w:rsid w:val="00630CB3"/>
    <w:rsid w:val="00690E42"/>
    <w:rsid w:val="00692689"/>
    <w:rsid w:val="006A330D"/>
    <w:rsid w:val="006A57C1"/>
    <w:rsid w:val="006C1797"/>
    <w:rsid w:val="006C38A4"/>
    <w:rsid w:val="006C4437"/>
    <w:rsid w:val="006E092F"/>
    <w:rsid w:val="006E315B"/>
    <w:rsid w:val="006E7761"/>
    <w:rsid w:val="00726331"/>
    <w:rsid w:val="0074492E"/>
    <w:rsid w:val="007504AB"/>
    <w:rsid w:val="00757C92"/>
    <w:rsid w:val="0077156B"/>
    <w:rsid w:val="00774306"/>
    <w:rsid w:val="007815CC"/>
    <w:rsid w:val="007B1E08"/>
    <w:rsid w:val="007C1B4F"/>
    <w:rsid w:val="007D0992"/>
    <w:rsid w:val="007D52A6"/>
    <w:rsid w:val="007E5CD6"/>
    <w:rsid w:val="007F2378"/>
    <w:rsid w:val="00801625"/>
    <w:rsid w:val="008066FF"/>
    <w:rsid w:val="0080725E"/>
    <w:rsid w:val="00812D4F"/>
    <w:rsid w:val="00816DE1"/>
    <w:rsid w:val="00823A8C"/>
    <w:rsid w:val="008259B4"/>
    <w:rsid w:val="00836B56"/>
    <w:rsid w:val="0086383D"/>
    <w:rsid w:val="008854B2"/>
    <w:rsid w:val="0089699C"/>
    <w:rsid w:val="008B2229"/>
    <w:rsid w:val="00925295"/>
    <w:rsid w:val="00971E7A"/>
    <w:rsid w:val="00975FB2"/>
    <w:rsid w:val="00977960"/>
    <w:rsid w:val="00984A0C"/>
    <w:rsid w:val="00993A76"/>
    <w:rsid w:val="009B40AB"/>
    <w:rsid w:val="009D0344"/>
    <w:rsid w:val="009E0D20"/>
    <w:rsid w:val="009E7872"/>
    <w:rsid w:val="00A02BCA"/>
    <w:rsid w:val="00A107F0"/>
    <w:rsid w:val="00A35BD8"/>
    <w:rsid w:val="00A473BE"/>
    <w:rsid w:val="00A62C06"/>
    <w:rsid w:val="00A81F6D"/>
    <w:rsid w:val="00A83EA0"/>
    <w:rsid w:val="00A86FDF"/>
    <w:rsid w:val="00A91BB1"/>
    <w:rsid w:val="00A93DBA"/>
    <w:rsid w:val="00AB1BE9"/>
    <w:rsid w:val="00AB793E"/>
    <w:rsid w:val="00AC34F3"/>
    <w:rsid w:val="00AC6B10"/>
    <w:rsid w:val="00AE514B"/>
    <w:rsid w:val="00B30417"/>
    <w:rsid w:val="00B34ACE"/>
    <w:rsid w:val="00B353C3"/>
    <w:rsid w:val="00B46F20"/>
    <w:rsid w:val="00B66A97"/>
    <w:rsid w:val="00B760FB"/>
    <w:rsid w:val="00BC08B2"/>
    <w:rsid w:val="00BC1C08"/>
    <w:rsid w:val="00BF0254"/>
    <w:rsid w:val="00BF42FD"/>
    <w:rsid w:val="00C0192B"/>
    <w:rsid w:val="00C07A73"/>
    <w:rsid w:val="00C160E4"/>
    <w:rsid w:val="00C219BB"/>
    <w:rsid w:val="00C25EA4"/>
    <w:rsid w:val="00C33714"/>
    <w:rsid w:val="00C64AD3"/>
    <w:rsid w:val="00C730C6"/>
    <w:rsid w:val="00C85E2E"/>
    <w:rsid w:val="00CA2D75"/>
    <w:rsid w:val="00CB2390"/>
    <w:rsid w:val="00CC6681"/>
    <w:rsid w:val="00CF0F57"/>
    <w:rsid w:val="00CF60C6"/>
    <w:rsid w:val="00D005FE"/>
    <w:rsid w:val="00D13A2D"/>
    <w:rsid w:val="00D26473"/>
    <w:rsid w:val="00D266DF"/>
    <w:rsid w:val="00D321E5"/>
    <w:rsid w:val="00D45DFE"/>
    <w:rsid w:val="00D463CF"/>
    <w:rsid w:val="00D539EC"/>
    <w:rsid w:val="00D60756"/>
    <w:rsid w:val="00D629E2"/>
    <w:rsid w:val="00D663F4"/>
    <w:rsid w:val="00D8623E"/>
    <w:rsid w:val="00D971DA"/>
    <w:rsid w:val="00DA5FFF"/>
    <w:rsid w:val="00DC7A0C"/>
    <w:rsid w:val="00DD06D9"/>
    <w:rsid w:val="00DE6E91"/>
    <w:rsid w:val="00E10DE2"/>
    <w:rsid w:val="00E21BBE"/>
    <w:rsid w:val="00E23EF0"/>
    <w:rsid w:val="00E40B0B"/>
    <w:rsid w:val="00E52DE7"/>
    <w:rsid w:val="00E67A75"/>
    <w:rsid w:val="00E70580"/>
    <w:rsid w:val="00EB3A29"/>
    <w:rsid w:val="00EE169D"/>
    <w:rsid w:val="00EF2E6E"/>
    <w:rsid w:val="00EF397B"/>
    <w:rsid w:val="00F00130"/>
    <w:rsid w:val="00F23DD6"/>
    <w:rsid w:val="00FB41B6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8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C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5FE"/>
  </w:style>
  <w:style w:type="paragraph" w:styleId="a8">
    <w:name w:val="footer"/>
    <w:basedOn w:val="a"/>
    <w:link w:val="a9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5FE"/>
  </w:style>
  <w:style w:type="table" w:styleId="aa">
    <w:name w:val="Table Grid"/>
    <w:basedOn w:val="a1"/>
    <w:uiPriority w:val="59"/>
    <w:rsid w:val="006C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8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C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5FE"/>
  </w:style>
  <w:style w:type="paragraph" w:styleId="a8">
    <w:name w:val="footer"/>
    <w:basedOn w:val="a"/>
    <w:link w:val="a9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5FE"/>
  </w:style>
  <w:style w:type="table" w:styleId="aa">
    <w:name w:val="Table Grid"/>
    <w:basedOn w:val="a1"/>
    <w:uiPriority w:val="59"/>
    <w:rsid w:val="006C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C0D1-0224-453C-9813-03116C6D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5163</Words>
  <Characters>29432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Долина Татьяна Васильевна</dc:creator>
  <cp:lastModifiedBy>Пашковская Наталья Викторовна</cp:lastModifiedBy>
  <cp:revision>5</cp:revision>
  <cp:lastPrinted>2021-04-15T07:55:00Z</cp:lastPrinted>
  <dcterms:created xsi:type="dcterms:W3CDTF">2021-04-14T16:54:00Z</dcterms:created>
  <dcterms:modified xsi:type="dcterms:W3CDTF">2021-04-15T07:55:00Z</dcterms:modified>
</cp:coreProperties>
</file>